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0352" w14:textId="77777777" w:rsidR="001D0BF3" w:rsidRPr="004500EE" w:rsidRDefault="001D0BF3" w:rsidP="00387B2A">
      <w:pPr>
        <w:spacing w:line="240" w:lineRule="auto"/>
        <w:ind w:right="720"/>
        <w:contextualSpacing/>
        <w:jc w:val="center"/>
        <w:rPr>
          <w:rFonts w:ascii="Arial" w:hAnsi="Arial" w:cs="Arial"/>
          <w:b/>
          <w:bCs/>
          <w:sz w:val="24"/>
          <w:szCs w:val="24"/>
          <w:u w:val="single"/>
        </w:rPr>
      </w:pPr>
    </w:p>
    <w:p w14:paraId="196045CC" w14:textId="6A15AE25" w:rsidR="008D4B7D" w:rsidRPr="004500EE" w:rsidRDefault="00D53725" w:rsidP="00387B2A">
      <w:pPr>
        <w:spacing w:line="240" w:lineRule="auto"/>
        <w:ind w:right="720"/>
        <w:contextualSpacing/>
        <w:jc w:val="center"/>
        <w:rPr>
          <w:rFonts w:ascii="Arial" w:hAnsi="Arial" w:cs="Arial"/>
          <w:b/>
          <w:bCs/>
          <w:sz w:val="24"/>
          <w:szCs w:val="24"/>
          <w:u w:val="single"/>
        </w:rPr>
      </w:pPr>
      <w:r>
        <w:rPr>
          <w:rFonts w:ascii="Arial" w:hAnsi="Arial" w:cs="Arial"/>
          <w:b/>
          <w:bCs/>
          <w:sz w:val="24"/>
          <w:szCs w:val="24"/>
          <w:u w:val="single"/>
        </w:rPr>
        <w:t>Recommendations for Prehospital Whole Blood Transfusion in Females of Childbearing Potential</w:t>
      </w:r>
    </w:p>
    <w:p w14:paraId="74A90BE0" w14:textId="77777777" w:rsidR="008D4B7D" w:rsidRPr="004500EE" w:rsidRDefault="008D4B7D" w:rsidP="00387B2A">
      <w:pPr>
        <w:spacing w:line="240" w:lineRule="auto"/>
        <w:ind w:right="720"/>
        <w:contextualSpacing/>
        <w:rPr>
          <w:rFonts w:ascii="Arial" w:hAnsi="Arial" w:cs="Arial"/>
          <w:b/>
          <w:bCs/>
          <w:sz w:val="24"/>
          <w:szCs w:val="24"/>
        </w:rPr>
      </w:pPr>
    </w:p>
    <w:p w14:paraId="14180018" w14:textId="56CC6F13" w:rsidR="005F0AB8" w:rsidRDefault="008D4B7D" w:rsidP="00387B2A">
      <w:pPr>
        <w:spacing w:line="240" w:lineRule="auto"/>
        <w:ind w:right="720"/>
        <w:contextualSpacing/>
        <w:rPr>
          <w:rFonts w:ascii="Arial" w:hAnsi="Arial" w:cs="Arial"/>
          <w:sz w:val="24"/>
          <w:szCs w:val="24"/>
        </w:rPr>
      </w:pPr>
      <w:r w:rsidRPr="004500EE">
        <w:rPr>
          <w:rFonts w:ascii="Arial" w:hAnsi="Arial" w:cs="Arial"/>
          <w:b/>
          <w:bCs/>
          <w:sz w:val="24"/>
          <w:szCs w:val="24"/>
          <w:u w:val="single"/>
        </w:rPr>
        <w:t>Purpose</w:t>
      </w:r>
      <w:r w:rsidRPr="004500EE">
        <w:rPr>
          <w:rFonts w:ascii="Arial" w:hAnsi="Arial" w:cs="Arial"/>
          <w:b/>
          <w:bCs/>
          <w:sz w:val="24"/>
          <w:szCs w:val="24"/>
        </w:rPr>
        <w:t>:</w:t>
      </w:r>
      <w:r w:rsidR="007653F0" w:rsidRPr="004500EE">
        <w:rPr>
          <w:rFonts w:ascii="Arial" w:hAnsi="Arial" w:cs="Arial"/>
          <w:b/>
          <w:bCs/>
          <w:sz w:val="24"/>
          <w:szCs w:val="24"/>
        </w:rPr>
        <w:t xml:space="preserve"> </w:t>
      </w:r>
      <w:r w:rsidR="007653F0" w:rsidRPr="004500EE">
        <w:rPr>
          <w:rFonts w:ascii="Arial" w:hAnsi="Arial" w:cs="Arial"/>
          <w:sz w:val="24"/>
          <w:szCs w:val="24"/>
        </w:rPr>
        <w:t>To provide guidance on the use of Low Titer Group O</w:t>
      </w:r>
      <w:r w:rsidR="00387B2A" w:rsidRPr="004500EE">
        <w:rPr>
          <w:rFonts w:ascii="Arial" w:hAnsi="Arial" w:cs="Arial"/>
          <w:sz w:val="24"/>
          <w:szCs w:val="24"/>
        </w:rPr>
        <w:t>+</w:t>
      </w:r>
      <w:r w:rsidR="007653F0" w:rsidRPr="004500EE">
        <w:rPr>
          <w:rFonts w:ascii="Arial" w:hAnsi="Arial" w:cs="Arial"/>
          <w:sz w:val="24"/>
          <w:szCs w:val="24"/>
        </w:rPr>
        <w:t xml:space="preserve"> Whole Blood</w:t>
      </w:r>
      <w:r w:rsidR="00387B2A" w:rsidRPr="004500EE">
        <w:rPr>
          <w:rFonts w:ascii="Arial" w:hAnsi="Arial" w:cs="Arial"/>
          <w:sz w:val="24"/>
          <w:szCs w:val="24"/>
        </w:rPr>
        <w:t xml:space="preserve"> </w:t>
      </w:r>
      <w:r w:rsidR="007653F0" w:rsidRPr="004500EE">
        <w:rPr>
          <w:rFonts w:ascii="Arial" w:hAnsi="Arial" w:cs="Arial"/>
          <w:sz w:val="24"/>
          <w:szCs w:val="24"/>
        </w:rPr>
        <w:t>in the resuscitation of reproductive-aged female</w:t>
      </w:r>
      <w:r w:rsidR="00C5702A" w:rsidRPr="004500EE">
        <w:rPr>
          <w:rFonts w:ascii="Arial" w:hAnsi="Arial" w:cs="Arial"/>
          <w:sz w:val="24"/>
          <w:szCs w:val="24"/>
        </w:rPr>
        <w:t>s from trauma or medical causes</w:t>
      </w:r>
      <w:r w:rsidR="00217946" w:rsidRPr="004500EE">
        <w:rPr>
          <w:rFonts w:ascii="Arial" w:hAnsi="Arial" w:cs="Arial"/>
          <w:sz w:val="24"/>
          <w:szCs w:val="24"/>
        </w:rPr>
        <w:t>, including pregnant patients,</w:t>
      </w:r>
      <w:r w:rsidR="007653F0" w:rsidRPr="004500EE">
        <w:rPr>
          <w:rFonts w:ascii="Arial" w:hAnsi="Arial" w:cs="Arial"/>
          <w:sz w:val="24"/>
          <w:szCs w:val="24"/>
        </w:rPr>
        <w:t xml:space="preserve"> prior to admission to a </w:t>
      </w:r>
      <w:r w:rsidR="00C11CCC" w:rsidRPr="004500EE">
        <w:rPr>
          <w:rFonts w:ascii="Arial" w:hAnsi="Arial" w:cs="Arial"/>
          <w:sz w:val="24"/>
          <w:szCs w:val="24"/>
        </w:rPr>
        <w:t>treating</w:t>
      </w:r>
      <w:r w:rsidR="007653F0" w:rsidRPr="004500EE">
        <w:rPr>
          <w:rFonts w:ascii="Arial" w:hAnsi="Arial" w:cs="Arial"/>
          <w:sz w:val="24"/>
          <w:szCs w:val="24"/>
        </w:rPr>
        <w:t xml:space="preserve"> facility.</w:t>
      </w:r>
    </w:p>
    <w:p w14:paraId="1C536A43" w14:textId="77777777" w:rsidR="006969CE" w:rsidRDefault="006969CE" w:rsidP="00387B2A">
      <w:pPr>
        <w:spacing w:line="240" w:lineRule="auto"/>
        <w:ind w:right="720"/>
        <w:contextualSpacing/>
        <w:rPr>
          <w:rFonts w:ascii="Arial" w:hAnsi="Arial" w:cs="Arial"/>
          <w:sz w:val="24"/>
          <w:szCs w:val="24"/>
        </w:rPr>
      </w:pPr>
    </w:p>
    <w:p w14:paraId="2108C846" w14:textId="77777777" w:rsidR="00BE2873" w:rsidRPr="006969CE" w:rsidRDefault="00BE2873" w:rsidP="00BE2873">
      <w:pPr>
        <w:spacing w:line="240" w:lineRule="auto"/>
        <w:ind w:right="720"/>
        <w:rPr>
          <w:rFonts w:ascii="Arial" w:hAnsi="Arial" w:cs="Arial"/>
          <w:sz w:val="24"/>
          <w:szCs w:val="24"/>
        </w:rPr>
      </w:pPr>
      <w:r w:rsidRPr="006969CE">
        <w:rPr>
          <w:rFonts w:ascii="Arial" w:hAnsi="Arial" w:cs="Arial"/>
          <w:sz w:val="24"/>
          <w:szCs w:val="24"/>
        </w:rPr>
        <w:t>LTOWB is indicated for the treatment of hemorrhagic shock from traumatic or medical causes and should not be delayed in reproductive-aged females, including pregnant patients</w:t>
      </w:r>
    </w:p>
    <w:p w14:paraId="23519539" w14:textId="77777777" w:rsidR="007653F0" w:rsidRPr="004500EE" w:rsidRDefault="007653F0" w:rsidP="00387B2A">
      <w:pPr>
        <w:spacing w:line="240" w:lineRule="auto"/>
        <w:ind w:right="720"/>
        <w:contextualSpacing/>
        <w:rPr>
          <w:rFonts w:ascii="Arial" w:hAnsi="Arial" w:cs="Arial"/>
          <w:b/>
          <w:bCs/>
          <w:sz w:val="24"/>
          <w:szCs w:val="24"/>
        </w:rPr>
      </w:pPr>
    </w:p>
    <w:p w14:paraId="7D6C2DAC" w14:textId="099B6565" w:rsidR="008D4B7D" w:rsidRPr="004500EE" w:rsidRDefault="008D4B7D" w:rsidP="00387B2A">
      <w:pPr>
        <w:spacing w:line="240" w:lineRule="auto"/>
        <w:ind w:right="720"/>
        <w:contextualSpacing/>
        <w:rPr>
          <w:rFonts w:ascii="Arial" w:hAnsi="Arial" w:cs="Arial"/>
          <w:b/>
          <w:bCs/>
          <w:sz w:val="24"/>
          <w:szCs w:val="24"/>
          <w:u w:val="single"/>
        </w:rPr>
      </w:pPr>
      <w:r w:rsidRPr="004500EE">
        <w:rPr>
          <w:rFonts w:ascii="Arial" w:hAnsi="Arial" w:cs="Arial"/>
          <w:b/>
          <w:bCs/>
          <w:sz w:val="24"/>
          <w:szCs w:val="24"/>
          <w:u w:val="single"/>
        </w:rPr>
        <w:t>Definitions and Abbreviations:</w:t>
      </w:r>
    </w:p>
    <w:p w14:paraId="298D7915" w14:textId="37896117" w:rsidR="008D4B7D" w:rsidRPr="004500EE" w:rsidRDefault="007653F0" w:rsidP="00387B2A">
      <w:pPr>
        <w:pStyle w:val="ListParagraph"/>
        <w:numPr>
          <w:ilvl w:val="0"/>
          <w:numId w:val="1"/>
        </w:numPr>
        <w:spacing w:line="240" w:lineRule="auto"/>
        <w:ind w:right="720"/>
        <w:rPr>
          <w:rFonts w:ascii="Arial" w:hAnsi="Arial" w:cs="Arial"/>
          <w:sz w:val="24"/>
          <w:szCs w:val="24"/>
        </w:rPr>
      </w:pPr>
      <w:r w:rsidRPr="004500EE">
        <w:rPr>
          <w:rFonts w:ascii="Arial" w:hAnsi="Arial" w:cs="Arial"/>
          <w:sz w:val="24"/>
          <w:szCs w:val="24"/>
        </w:rPr>
        <w:t xml:space="preserve">Reproductive age female: </w:t>
      </w:r>
      <w:r w:rsidR="00C5702A" w:rsidRPr="004500EE">
        <w:rPr>
          <w:rFonts w:ascii="Arial" w:hAnsi="Arial" w:cs="Arial"/>
          <w:sz w:val="24"/>
          <w:szCs w:val="24"/>
        </w:rPr>
        <w:t>12</w:t>
      </w:r>
      <w:r w:rsidRPr="004500EE">
        <w:rPr>
          <w:rFonts w:ascii="Arial" w:hAnsi="Arial" w:cs="Arial"/>
          <w:sz w:val="24"/>
          <w:szCs w:val="24"/>
        </w:rPr>
        <w:t>-</w:t>
      </w:r>
      <w:r w:rsidR="00C5702A" w:rsidRPr="004500EE">
        <w:rPr>
          <w:rFonts w:ascii="Arial" w:hAnsi="Arial" w:cs="Arial"/>
          <w:sz w:val="24"/>
          <w:szCs w:val="24"/>
        </w:rPr>
        <w:t>55</w:t>
      </w:r>
      <w:r w:rsidRPr="004500EE">
        <w:rPr>
          <w:rFonts w:ascii="Arial" w:hAnsi="Arial" w:cs="Arial"/>
          <w:sz w:val="24"/>
          <w:szCs w:val="24"/>
        </w:rPr>
        <w:t xml:space="preserve"> years</w:t>
      </w:r>
    </w:p>
    <w:p w14:paraId="52A33784" w14:textId="52A940CB" w:rsidR="007653F0" w:rsidRPr="004500EE" w:rsidRDefault="007653F0" w:rsidP="00387B2A">
      <w:pPr>
        <w:pStyle w:val="ListParagraph"/>
        <w:numPr>
          <w:ilvl w:val="0"/>
          <w:numId w:val="1"/>
        </w:numPr>
        <w:spacing w:line="240" w:lineRule="auto"/>
        <w:ind w:right="720"/>
        <w:rPr>
          <w:rFonts w:ascii="Arial" w:hAnsi="Arial" w:cs="Arial"/>
          <w:sz w:val="24"/>
          <w:szCs w:val="24"/>
        </w:rPr>
      </w:pPr>
      <w:r w:rsidRPr="004500EE">
        <w:rPr>
          <w:rFonts w:ascii="Arial" w:hAnsi="Arial" w:cs="Arial"/>
          <w:sz w:val="24"/>
          <w:szCs w:val="24"/>
        </w:rPr>
        <w:t>Low Titer O</w:t>
      </w:r>
      <w:r w:rsidR="00387B2A" w:rsidRPr="004500EE">
        <w:rPr>
          <w:rFonts w:ascii="Arial" w:hAnsi="Arial" w:cs="Arial"/>
          <w:sz w:val="24"/>
          <w:szCs w:val="24"/>
        </w:rPr>
        <w:t>+</w:t>
      </w:r>
      <w:r w:rsidRPr="004500EE">
        <w:rPr>
          <w:rFonts w:ascii="Arial" w:hAnsi="Arial" w:cs="Arial"/>
          <w:sz w:val="24"/>
          <w:szCs w:val="24"/>
        </w:rPr>
        <w:t xml:space="preserve"> Whole Blood: LTO</w:t>
      </w:r>
      <w:r w:rsidR="00387B2A" w:rsidRPr="004500EE">
        <w:rPr>
          <w:rFonts w:ascii="Arial" w:hAnsi="Arial" w:cs="Arial"/>
          <w:sz w:val="24"/>
          <w:szCs w:val="24"/>
        </w:rPr>
        <w:t>+</w:t>
      </w:r>
      <w:r w:rsidRPr="004500EE">
        <w:rPr>
          <w:rFonts w:ascii="Arial" w:hAnsi="Arial" w:cs="Arial"/>
          <w:sz w:val="24"/>
          <w:szCs w:val="24"/>
        </w:rPr>
        <w:t>WB</w:t>
      </w:r>
    </w:p>
    <w:p w14:paraId="11827921" w14:textId="616794B9" w:rsidR="007653F0" w:rsidRPr="004500EE" w:rsidRDefault="007653F0" w:rsidP="00387B2A">
      <w:pPr>
        <w:pStyle w:val="ListParagraph"/>
        <w:numPr>
          <w:ilvl w:val="0"/>
          <w:numId w:val="1"/>
        </w:numPr>
        <w:spacing w:line="240" w:lineRule="auto"/>
        <w:ind w:right="720"/>
        <w:rPr>
          <w:rFonts w:ascii="Arial" w:hAnsi="Arial" w:cs="Arial"/>
          <w:sz w:val="24"/>
          <w:szCs w:val="24"/>
        </w:rPr>
      </w:pPr>
      <w:r w:rsidRPr="004500EE">
        <w:rPr>
          <w:rFonts w:ascii="Arial" w:hAnsi="Arial" w:cs="Arial"/>
          <w:sz w:val="24"/>
          <w:szCs w:val="24"/>
        </w:rPr>
        <w:t>Rhesus Factor: Rh</w:t>
      </w:r>
    </w:p>
    <w:p w14:paraId="5DC16462" w14:textId="3FFFE048" w:rsidR="00217946" w:rsidRPr="004500EE" w:rsidRDefault="00217946" w:rsidP="00387B2A">
      <w:pPr>
        <w:pStyle w:val="ListParagraph"/>
        <w:numPr>
          <w:ilvl w:val="0"/>
          <w:numId w:val="1"/>
        </w:numPr>
        <w:spacing w:line="240" w:lineRule="auto"/>
        <w:ind w:right="720"/>
        <w:rPr>
          <w:rFonts w:ascii="Arial" w:hAnsi="Arial" w:cs="Arial"/>
          <w:sz w:val="24"/>
          <w:szCs w:val="24"/>
        </w:rPr>
      </w:pPr>
      <w:r w:rsidRPr="004500EE">
        <w:rPr>
          <w:rFonts w:ascii="Arial" w:hAnsi="Arial" w:cs="Arial"/>
          <w:sz w:val="24"/>
          <w:szCs w:val="24"/>
        </w:rPr>
        <w:t>Rh immunoglobulin: RhIG</w:t>
      </w:r>
    </w:p>
    <w:p w14:paraId="1F0DDD5B" w14:textId="77777777" w:rsidR="00C528FE" w:rsidRDefault="00E84D08" w:rsidP="00387B2A">
      <w:pPr>
        <w:spacing w:line="240" w:lineRule="auto"/>
        <w:ind w:right="720"/>
        <w:contextualSpacing/>
        <w:rPr>
          <w:rFonts w:ascii="Arial" w:hAnsi="Arial" w:cs="Arial"/>
          <w:sz w:val="24"/>
          <w:szCs w:val="24"/>
        </w:rPr>
      </w:pPr>
      <w:r w:rsidRPr="004500EE">
        <w:rPr>
          <w:rFonts w:ascii="Arial" w:hAnsi="Arial" w:cs="Arial"/>
          <w:b/>
          <w:bCs/>
          <w:sz w:val="24"/>
          <w:szCs w:val="24"/>
          <w:u w:val="single"/>
        </w:rPr>
        <w:t>Practice Guideline</w:t>
      </w:r>
      <w:r w:rsidR="008D4B7D" w:rsidRPr="004500EE">
        <w:rPr>
          <w:rFonts w:ascii="Arial" w:hAnsi="Arial" w:cs="Arial"/>
          <w:b/>
          <w:bCs/>
          <w:sz w:val="24"/>
          <w:szCs w:val="24"/>
          <w:u w:val="single"/>
        </w:rPr>
        <w:t>:</w:t>
      </w:r>
      <w:r w:rsidRPr="004500EE">
        <w:rPr>
          <w:rFonts w:ascii="Arial" w:hAnsi="Arial" w:cs="Arial"/>
          <w:sz w:val="24"/>
          <w:szCs w:val="24"/>
        </w:rPr>
        <w:t xml:space="preserve"> </w:t>
      </w:r>
    </w:p>
    <w:p w14:paraId="691F6486" w14:textId="77777777" w:rsidR="005F0AB8" w:rsidRPr="006969CE" w:rsidRDefault="005F0AB8" w:rsidP="006969CE">
      <w:pPr>
        <w:spacing w:line="240" w:lineRule="auto"/>
        <w:ind w:right="720"/>
        <w:rPr>
          <w:rFonts w:ascii="Arial" w:hAnsi="Arial" w:cs="Arial"/>
          <w:sz w:val="24"/>
          <w:szCs w:val="24"/>
        </w:rPr>
      </w:pPr>
    </w:p>
    <w:p w14:paraId="23CDDA70" w14:textId="0B9644E6" w:rsidR="00C528FE" w:rsidRPr="004500EE" w:rsidRDefault="00E84D08" w:rsidP="00387B2A">
      <w:pPr>
        <w:pStyle w:val="ListParagraph"/>
        <w:numPr>
          <w:ilvl w:val="0"/>
          <w:numId w:val="2"/>
        </w:numPr>
        <w:spacing w:line="240" w:lineRule="auto"/>
        <w:ind w:left="360" w:right="720"/>
        <w:rPr>
          <w:rFonts w:ascii="Arial" w:hAnsi="Arial" w:cs="Arial"/>
          <w:sz w:val="24"/>
          <w:szCs w:val="24"/>
        </w:rPr>
      </w:pPr>
      <w:r w:rsidRPr="004500EE">
        <w:rPr>
          <w:rFonts w:ascii="Arial" w:hAnsi="Arial" w:cs="Arial"/>
          <w:sz w:val="24"/>
          <w:szCs w:val="24"/>
        </w:rPr>
        <w:t>For reproductive-aged females</w:t>
      </w:r>
      <w:r w:rsidR="00C528FE" w:rsidRPr="004500EE">
        <w:rPr>
          <w:rFonts w:ascii="Arial" w:hAnsi="Arial" w:cs="Arial"/>
          <w:sz w:val="24"/>
          <w:szCs w:val="24"/>
        </w:rPr>
        <w:t xml:space="preserve"> </w:t>
      </w:r>
      <w:r w:rsidRPr="004500EE">
        <w:rPr>
          <w:rFonts w:ascii="Arial" w:hAnsi="Arial" w:cs="Arial"/>
          <w:sz w:val="24"/>
          <w:szCs w:val="24"/>
        </w:rPr>
        <w:t>with clinical parameters indicative of hemorrhage shock from trauma or medical cause</w:t>
      </w:r>
      <w:r w:rsidR="00C528FE" w:rsidRPr="004500EE">
        <w:rPr>
          <w:rFonts w:ascii="Arial" w:hAnsi="Arial" w:cs="Arial"/>
          <w:sz w:val="24"/>
          <w:szCs w:val="24"/>
        </w:rPr>
        <w:t>s (e.g.</w:t>
      </w:r>
      <w:r w:rsidR="00633743" w:rsidRPr="004500EE">
        <w:rPr>
          <w:rFonts w:ascii="Arial" w:hAnsi="Arial" w:cs="Arial"/>
          <w:sz w:val="24"/>
          <w:szCs w:val="24"/>
        </w:rPr>
        <w:t>,</w:t>
      </w:r>
      <w:r w:rsidR="00C528FE" w:rsidRPr="004500EE">
        <w:rPr>
          <w:rFonts w:ascii="Arial" w:hAnsi="Arial" w:cs="Arial"/>
          <w:sz w:val="24"/>
          <w:szCs w:val="24"/>
        </w:rPr>
        <w:t xml:space="preserve"> ruptured ectopic pregnancy, pregnancy-related hemorrhage) </w:t>
      </w:r>
      <w:r w:rsidRPr="004500EE">
        <w:rPr>
          <w:rFonts w:ascii="Arial" w:hAnsi="Arial" w:cs="Arial"/>
          <w:sz w:val="24"/>
          <w:szCs w:val="24"/>
        </w:rPr>
        <w:t>who are unresponsive to initial resuscitative measures, administration of LTOWB</w:t>
      </w:r>
      <w:r w:rsidR="00C528FE" w:rsidRPr="004500EE">
        <w:rPr>
          <w:rFonts w:ascii="Arial" w:hAnsi="Arial" w:cs="Arial"/>
          <w:sz w:val="24"/>
          <w:szCs w:val="24"/>
        </w:rPr>
        <w:t xml:space="preserve"> prior to hospital arrival is </w:t>
      </w:r>
      <w:r w:rsidR="004A7DC5">
        <w:rPr>
          <w:rFonts w:ascii="Arial" w:hAnsi="Arial" w:cs="Arial"/>
          <w:sz w:val="24"/>
          <w:szCs w:val="24"/>
        </w:rPr>
        <w:t>indicated</w:t>
      </w:r>
      <w:r w:rsidR="00C528FE" w:rsidRPr="004500EE">
        <w:rPr>
          <w:rFonts w:ascii="Arial" w:hAnsi="Arial" w:cs="Arial"/>
          <w:sz w:val="24"/>
          <w:szCs w:val="24"/>
        </w:rPr>
        <w:t xml:space="preserve">. </w:t>
      </w:r>
    </w:p>
    <w:p w14:paraId="4C8EDB81" w14:textId="77777777" w:rsidR="00C11CCC" w:rsidRPr="004500EE" w:rsidRDefault="00C11CCC" w:rsidP="00387B2A">
      <w:pPr>
        <w:pStyle w:val="ListParagraph"/>
        <w:spacing w:line="240" w:lineRule="auto"/>
        <w:ind w:left="360" w:right="720"/>
        <w:rPr>
          <w:rFonts w:ascii="Arial" w:hAnsi="Arial" w:cs="Arial"/>
          <w:sz w:val="24"/>
          <w:szCs w:val="24"/>
        </w:rPr>
      </w:pPr>
    </w:p>
    <w:p w14:paraId="37B3855B" w14:textId="43AD65F4" w:rsidR="00E84D08" w:rsidRPr="004500EE" w:rsidRDefault="00633743" w:rsidP="00387B2A">
      <w:pPr>
        <w:pStyle w:val="ListParagraph"/>
        <w:numPr>
          <w:ilvl w:val="0"/>
          <w:numId w:val="2"/>
        </w:numPr>
        <w:spacing w:line="240" w:lineRule="auto"/>
        <w:ind w:left="360" w:right="720"/>
        <w:rPr>
          <w:rFonts w:ascii="Arial" w:hAnsi="Arial" w:cs="Arial"/>
          <w:sz w:val="24"/>
          <w:szCs w:val="24"/>
        </w:rPr>
      </w:pPr>
      <w:r w:rsidRPr="004500EE">
        <w:rPr>
          <w:rFonts w:ascii="Arial" w:hAnsi="Arial" w:cs="Arial"/>
          <w:sz w:val="24"/>
          <w:szCs w:val="24"/>
        </w:rPr>
        <w:t xml:space="preserve">Use of LTOWB is </w:t>
      </w:r>
      <w:r w:rsidR="004A7DC5">
        <w:rPr>
          <w:rFonts w:ascii="Arial" w:hAnsi="Arial" w:cs="Arial"/>
          <w:sz w:val="24"/>
          <w:szCs w:val="24"/>
        </w:rPr>
        <w:t>indicated</w:t>
      </w:r>
      <w:r w:rsidR="004A7DC5" w:rsidRPr="004500EE">
        <w:rPr>
          <w:rFonts w:ascii="Arial" w:hAnsi="Arial" w:cs="Arial"/>
          <w:sz w:val="24"/>
          <w:szCs w:val="24"/>
        </w:rPr>
        <w:t xml:space="preserve"> </w:t>
      </w:r>
      <w:r w:rsidRPr="004500EE">
        <w:rPr>
          <w:rFonts w:ascii="Arial" w:hAnsi="Arial" w:cs="Arial"/>
          <w:sz w:val="24"/>
          <w:szCs w:val="24"/>
        </w:rPr>
        <w:t>for use in</w:t>
      </w:r>
      <w:r w:rsidR="00C528FE" w:rsidRPr="004500EE">
        <w:rPr>
          <w:rFonts w:ascii="Arial" w:hAnsi="Arial" w:cs="Arial"/>
          <w:sz w:val="24"/>
          <w:szCs w:val="24"/>
        </w:rPr>
        <w:t xml:space="preserve"> reproductive-aged females regardless of pregnancy status as the benefit of maternal life-saving measures outweighs </w:t>
      </w:r>
      <w:r w:rsidR="00F433C2">
        <w:rPr>
          <w:rFonts w:ascii="Arial" w:hAnsi="Arial" w:cs="Arial"/>
          <w:sz w:val="24"/>
          <w:szCs w:val="24"/>
        </w:rPr>
        <w:t>potential</w:t>
      </w:r>
      <w:r w:rsidR="00F433C2" w:rsidRPr="004500EE">
        <w:rPr>
          <w:rFonts w:ascii="Arial" w:hAnsi="Arial" w:cs="Arial"/>
          <w:sz w:val="24"/>
          <w:szCs w:val="24"/>
        </w:rPr>
        <w:t xml:space="preserve"> </w:t>
      </w:r>
      <w:r w:rsidR="00C528FE" w:rsidRPr="004500EE">
        <w:rPr>
          <w:rFonts w:ascii="Arial" w:hAnsi="Arial" w:cs="Arial"/>
          <w:sz w:val="24"/>
          <w:szCs w:val="24"/>
        </w:rPr>
        <w:t>risks to the pregnancy</w:t>
      </w:r>
      <w:r w:rsidRPr="004500EE">
        <w:rPr>
          <w:rFonts w:ascii="Arial" w:hAnsi="Arial" w:cs="Arial"/>
          <w:sz w:val="24"/>
          <w:szCs w:val="24"/>
        </w:rPr>
        <w:t xml:space="preserve"> or future childbearing</w:t>
      </w:r>
      <w:r w:rsidR="00C528FE" w:rsidRPr="004500EE">
        <w:rPr>
          <w:rFonts w:ascii="Arial" w:hAnsi="Arial" w:cs="Arial"/>
          <w:sz w:val="24"/>
          <w:szCs w:val="24"/>
        </w:rPr>
        <w:t>.</w:t>
      </w:r>
    </w:p>
    <w:p w14:paraId="2CE39C40" w14:textId="6DD10753" w:rsidR="008D4B7D" w:rsidRPr="004500EE" w:rsidRDefault="008D4B7D" w:rsidP="00387B2A">
      <w:pPr>
        <w:spacing w:line="240" w:lineRule="auto"/>
        <w:ind w:right="720"/>
        <w:contextualSpacing/>
        <w:rPr>
          <w:rFonts w:ascii="Arial" w:hAnsi="Arial" w:cs="Arial"/>
          <w:b/>
          <w:bCs/>
          <w:sz w:val="24"/>
          <w:szCs w:val="24"/>
          <w:u w:val="single"/>
        </w:rPr>
      </w:pPr>
      <w:r w:rsidRPr="004500EE">
        <w:rPr>
          <w:rFonts w:ascii="Arial" w:hAnsi="Arial" w:cs="Arial"/>
          <w:b/>
          <w:bCs/>
          <w:sz w:val="24"/>
          <w:szCs w:val="24"/>
          <w:u w:val="single"/>
        </w:rPr>
        <w:t>Special Considerations:</w:t>
      </w:r>
    </w:p>
    <w:p w14:paraId="4B070545" w14:textId="6E2D1DBA" w:rsidR="00C11CCC" w:rsidRPr="004500EE" w:rsidRDefault="000321C3" w:rsidP="00387B2A">
      <w:pPr>
        <w:pStyle w:val="ListParagraph"/>
        <w:numPr>
          <w:ilvl w:val="0"/>
          <w:numId w:val="3"/>
        </w:numPr>
        <w:spacing w:line="240" w:lineRule="auto"/>
        <w:ind w:left="360" w:right="720"/>
        <w:rPr>
          <w:rFonts w:ascii="Arial" w:hAnsi="Arial" w:cs="Arial"/>
          <w:sz w:val="24"/>
          <w:szCs w:val="24"/>
        </w:rPr>
      </w:pPr>
      <w:r>
        <w:rPr>
          <w:rFonts w:ascii="Arial" w:hAnsi="Arial" w:cs="Arial"/>
          <w:sz w:val="24"/>
          <w:szCs w:val="24"/>
        </w:rPr>
        <w:t>Prehospital providers who are caring for p</w:t>
      </w:r>
      <w:r w:rsidR="00C11CCC" w:rsidRPr="004500EE">
        <w:rPr>
          <w:rFonts w:ascii="Arial" w:hAnsi="Arial" w:cs="Arial"/>
          <w:sz w:val="24"/>
          <w:szCs w:val="24"/>
        </w:rPr>
        <w:t>regnant individuals should maintain the same guidelines for initial evaluation and management as they would for a nonpregnant patient.</w:t>
      </w:r>
    </w:p>
    <w:p w14:paraId="345D850F" w14:textId="77777777" w:rsidR="00C11CCC" w:rsidRPr="004500EE" w:rsidRDefault="00C11CCC" w:rsidP="00387B2A">
      <w:pPr>
        <w:pStyle w:val="ListParagraph"/>
        <w:spacing w:line="240" w:lineRule="auto"/>
        <w:ind w:left="360" w:right="720"/>
        <w:rPr>
          <w:rFonts w:ascii="Arial" w:hAnsi="Arial" w:cs="Arial"/>
          <w:sz w:val="24"/>
          <w:szCs w:val="24"/>
        </w:rPr>
      </w:pPr>
    </w:p>
    <w:p w14:paraId="02EE70C1" w14:textId="53DA4B7A" w:rsidR="00C528FE" w:rsidRPr="004500EE" w:rsidRDefault="00C528FE" w:rsidP="00387B2A">
      <w:pPr>
        <w:pStyle w:val="ListParagraph"/>
        <w:numPr>
          <w:ilvl w:val="0"/>
          <w:numId w:val="3"/>
        </w:numPr>
        <w:spacing w:line="240" w:lineRule="auto"/>
        <w:ind w:left="360" w:right="720"/>
        <w:rPr>
          <w:rFonts w:ascii="Arial" w:hAnsi="Arial" w:cs="Arial"/>
          <w:sz w:val="24"/>
          <w:szCs w:val="24"/>
        </w:rPr>
      </w:pPr>
      <w:r w:rsidRPr="004500EE">
        <w:rPr>
          <w:rFonts w:ascii="Arial" w:hAnsi="Arial" w:cs="Arial"/>
          <w:sz w:val="24"/>
          <w:szCs w:val="24"/>
        </w:rPr>
        <w:t xml:space="preserve">In </w:t>
      </w:r>
      <w:r w:rsidR="00387B2A" w:rsidRPr="004500EE">
        <w:rPr>
          <w:rFonts w:ascii="Arial" w:hAnsi="Arial" w:cs="Arial"/>
          <w:sz w:val="24"/>
          <w:szCs w:val="24"/>
        </w:rPr>
        <w:t>the</w:t>
      </w:r>
      <w:r w:rsidRPr="004500EE">
        <w:rPr>
          <w:rFonts w:ascii="Arial" w:hAnsi="Arial" w:cs="Arial"/>
          <w:sz w:val="24"/>
          <w:szCs w:val="24"/>
        </w:rPr>
        <w:t xml:space="preserve"> pregnant </w:t>
      </w:r>
      <w:r w:rsidR="00633743" w:rsidRPr="004500EE">
        <w:rPr>
          <w:rFonts w:ascii="Arial" w:hAnsi="Arial" w:cs="Arial"/>
          <w:sz w:val="24"/>
          <w:szCs w:val="24"/>
        </w:rPr>
        <w:t>patient</w:t>
      </w:r>
      <w:r w:rsidRPr="004500EE">
        <w:rPr>
          <w:rFonts w:ascii="Arial" w:hAnsi="Arial" w:cs="Arial"/>
          <w:sz w:val="24"/>
          <w:szCs w:val="24"/>
        </w:rPr>
        <w:t xml:space="preserve"> beyond 20 weeks gestation (fundus at level of umbilicus), </w:t>
      </w:r>
      <w:r w:rsidR="00633743" w:rsidRPr="004500EE">
        <w:rPr>
          <w:rFonts w:ascii="Arial" w:hAnsi="Arial" w:cs="Arial"/>
          <w:sz w:val="24"/>
          <w:szCs w:val="24"/>
        </w:rPr>
        <w:t>ensure</w:t>
      </w:r>
      <w:r w:rsidRPr="004500EE">
        <w:rPr>
          <w:rFonts w:ascii="Arial" w:hAnsi="Arial" w:cs="Arial"/>
          <w:sz w:val="24"/>
          <w:szCs w:val="24"/>
        </w:rPr>
        <w:t xml:space="preserve"> displacement of uterus by </w:t>
      </w:r>
      <w:r w:rsidR="00633743" w:rsidRPr="004500EE">
        <w:rPr>
          <w:rFonts w:ascii="Arial" w:hAnsi="Arial" w:cs="Arial"/>
          <w:sz w:val="24"/>
          <w:szCs w:val="24"/>
        </w:rPr>
        <w:t>placing maternal patient</w:t>
      </w:r>
      <w:r w:rsidRPr="004500EE">
        <w:rPr>
          <w:rFonts w:ascii="Arial" w:hAnsi="Arial" w:cs="Arial"/>
          <w:sz w:val="24"/>
          <w:szCs w:val="24"/>
        </w:rPr>
        <w:t xml:space="preserve"> in left-lateral recumbent position</w:t>
      </w:r>
      <w:r w:rsidR="00877BDD">
        <w:rPr>
          <w:rFonts w:ascii="Arial" w:hAnsi="Arial" w:cs="Arial"/>
          <w:sz w:val="24"/>
          <w:szCs w:val="24"/>
        </w:rPr>
        <w:t xml:space="preserve"> to avoid </w:t>
      </w:r>
      <w:r w:rsidR="007F298A">
        <w:rPr>
          <w:rFonts w:ascii="Arial" w:hAnsi="Arial" w:cs="Arial"/>
          <w:sz w:val="24"/>
          <w:szCs w:val="24"/>
        </w:rPr>
        <w:t xml:space="preserve">hypotension caused by </w:t>
      </w:r>
      <w:r w:rsidR="00877BDD">
        <w:rPr>
          <w:rFonts w:ascii="Arial" w:hAnsi="Arial" w:cs="Arial"/>
          <w:sz w:val="24"/>
          <w:szCs w:val="24"/>
        </w:rPr>
        <w:t>vena cava compressio</w:t>
      </w:r>
      <w:r w:rsidR="007F298A">
        <w:rPr>
          <w:rFonts w:ascii="Arial" w:hAnsi="Arial" w:cs="Arial"/>
          <w:sz w:val="24"/>
          <w:szCs w:val="24"/>
        </w:rPr>
        <w:t xml:space="preserve">n. </w:t>
      </w:r>
    </w:p>
    <w:p w14:paraId="5EBE64AF" w14:textId="77777777" w:rsidR="00C11CCC" w:rsidRPr="004500EE" w:rsidRDefault="00C11CCC" w:rsidP="00387B2A">
      <w:pPr>
        <w:pStyle w:val="ListParagraph"/>
        <w:ind w:right="720"/>
        <w:rPr>
          <w:rFonts w:ascii="Arial" w:hAnsi="Arial" w:cs="Arial"/>
          <w:sz w:val="24"/>
          <w:szCs w:val="24"/>
        </w:rPr>
      </w:pPr>
    </w:p>
    <w:p w14:paraId="6B15EDE6" w14:textId="10DA1C65" w:rsidR="00217946" w:rsidRPr="004500EE" w:rsidRDefault="00633743" w:rsidP="00387B2A">
      <w:pPr>
        <w:pStyle w:val="ListParagraph"/>
        <w:numPr>
          <w:ilvl w:val="0"/>
          <w:numId w:val="3"/>
        </w:numPr>
        <w:spacing w:line="240" w:lineRule="auto"/>
        <w:ind w:left="360" w:right="720"/>
        <w:rPr>
          <w:rFonts w:ascii="Arial" w:hAnsi="Arial" w:cs="Arial"/>
          <w:sz w:val="24"/>
          <w:szCs w:val="24"/>
        </w:rPr>
      </w:pPr>
      <w:r w:rsidRPr="004500EE">
        <w:rPr>
          <w:rFonts w:ascii="Arial" w:hAnsi="Arial" w:cs="Arial"/>
          <w:sz w:val="24"/>
          <w:szCs w:val="24"/>
        </w:rPr>
        <w:t xml:space="preserve">Use of LTOWB may result in Rh mismatch where an Rh negative reproductive-aged female receives LTOWB. </w:t>
      </w:r>
    </w:p>
    <w:p w14:paraId="22433893" w14:textId="77777777" w:rsidR="004500EE" w:rsidRPr="004500EE" w:rsidRDefault="004500EE" w:rsidP="004500EE">
      <w:pPr>
        <w:pStyle w:val="ListParagraph"/>
        <w:rPr>
          <w:rFonts w:ascii="Arial" w:hAnsi="Arial" w:cs="Arial"/>
          <w:sz w:val="24"/>
          <w:szCs w:val="24"/>
        </w:rPr>
      </w:pPr>
    </w:p>
    <w:p w14:paraId="09CB15CE" w14:textId="443A5D9F" w:rsidR="004500EE" w:rsidRPr="004500EE" w:rsidRDefault="004500EE" w:rsidP="004500EE">
      <w:pPr>
        <w:pStyle w:val="ListParagraph"/>
        <w:numPr>
          <w:ilvl w:val="0"/>
          <w:numId w:val="7"/>
        </w:numPr>
        <w:spacing w:line="278" w:lineRule="auto"/>
        <w:ind w:left="360"/>
        <w:rPr>
          <w:rFonts w:ascii="Arial" w:hAnsi="Arial" w:cs="Arial"/>
          <w:sz w:val="24"/>
          <w:szCs w:val="24"/>
        </w:rPr>
      </w:pPr>
      <w:r w:rsidRPr="004500EE">
        <w:rPr>
          <w:rFonts w:ascii="Arial" w:hAnsi="Arial" w:cs="Arial"/>
          <w:sz w:val="24"/>
          <w:szCs w:val="24"/>
        </w:rPr>
        <w:lastRenderedPageBreak/>
        <w:t xml:space="preserve">When clinically feasible, informed consent should be obtained from a reproductive-aged female prior to the administration of </w:t>
      </w:r>
      <w:r>
        <w:rPr>
          <w:rFonts w:ascii="Arial" w:hAnsi="Arial" w:cs="Arial"/>
          <w:sz w:val="24"/>
          <w:szCs w:val="24"/>
        </w:rPr>
        <w:t>LTOWB</w:t>
      </w:r>
      <w:r w:rsidRPr="004500EE">
        <w:rPr>
          <w:rFonts w:ascii="Arial" w:hAnsi="Arial" w:cs="Arial"/>
          <w:sz w:val="24"/>
          <w:szCs w:val="24"/>
        </w:rPr>
        <w:t xml:space="preserve">. In emergent, life-threatening situations, when immediate transfusion is required and consent cannot reasonably be obtained, treatment should proceed under the principle of implied consent.  </w:t>
      </w:r>
    </w:p>
    <w:p w14:paraId="3FAE7174" w14:textId="77777777" w:rsidR="004500EE" w:rsidRPr="004500EE" w:rsidRDefault="004500EE" w:rsidP="004500EE">
      <w:pPr>
        <w:pStyle w:val="ListParagraph"/>
        <w:spacing w:line="240" w:lineRule="auto"/>
        <w:ind w:left="360" w:right="720"/>
        <w:rPr>
          <w:rFonts w:ascii="Arial" w:hAnsi="Arial" w:cs="Arial"/>
          <w:sz w:val="24"/>
          <w:szCs w:val="24"/>
        </w:rPr>
      </w:pPr>
    </w:p>
    <w:p w14:paraId="1C771CE6" w14:textId="0B74A731" w:rsidR="00C11CCC" w:rsidRPr="004500EE" w:rsidRDefault="00217946" w:rsidP="00387B2A">
      <w:pPr>
        <w:pStyle w:val="ListParagraph"/>
        <w:numPr>
          <w:ilvl w:val="0"/>
          <w:numId w:val="3"/>
        </w:numPr>
        <w:spacing w:line="240" w:lineRule="auto"/>
        <w:ind w:left="360" w:right="720"/>
        <w:rPr>
          <w:rFonts w:ascii="Arial" w:hAnsi="Arial" w:cs="Arial"/>
          <w:sz w:val="24"/>
          <w:szCs w:val="24"/>
        </w:rPr>
      </w:pPr>
      <w:r w:rsidRPr="004500EE">
        <w:rPr>
          <w:rFonts w:ascii="Arial" w:hAnsi="Arial" w:cs="Arial"/>
          <w:sz w:val="24"/>
          <w:szCs w:val="24"/>
        </w:rPr>
        <w:t xml:space="preserve">Consultation of a </w:t>
      </w:r>
      <w:r w:rsidR="00E31393">
        <w:rPr>
          <w:rFonts w:ascii="Arial" w:hAnsi="Arial" w:cs="Arial"/>
          <w:sz w:val="24"/>
          <w:szCs w:val="24"/>
        </w:rPr>
        <w:t>w</w:t>
      </w:r>
      <w:r w:rsidR="00E31393" w:rsidRPr="004500EE">
        <w:rPr>
          <w:rFonts w:ascii="Arial" w:hAnsi="Arial" w:cs="Arial"/>
          <w:sz w:val="24"/>
          <w:szCs w:val="24"/>
        </w:rPr>
        <w:t xml:space="preserve">omen’s </w:t>
      </w:r>
      <w:r w:rsidR="00E31393">
        <w:rPr>
          <w:rFonts w:ascii="Arial" w:hAnsi="Arial" w:cs="Arial"/>
          <w:sz w:val="24"/>
          <w:szCs w:val="24"/>
        </w:rPr>
        <w:t>h</w:t>
      </w:r>
      <w:r w:rsidR="00E31393" w:rsidRPr="004500EE">
        <w:rPr>
          <w:rFonts w:ascii="Arial" w:hAnsi="Arial" w:cs="Arial"/>
          <w:sz w:val="24"/>
          <w:szCs w:val="24"/>
        </w:rPr>
        <w:t xml:space="preserve">ealth </w:t>
      </w:r>
      <w:r w:rsidR="00E31393">
        <w:rPr>
          <w:rFonts w:ascii="Arial" w:hAnsi="Arial" w:cs="Arial"/>
          <w:sz w:val="24"/>
          <w:szCs w:val="24"/>
        </w:rPr>
        <w:t>p</w:t>
      </w:r>
      <w:r w:rsidR="00E31393" w:rsidRPr="004500EE">
        <w:rPr>
          <w:rFonts w:ascii="Arial" w:hAnsi="Arial" w:cs="Arial"/>
          <w:sz w:val="24"/>
          <w:szCs w:val="24"/>
        </w:rPr>
        <w:t xml:space="preserve">rovider </w:t>
      </w:r>
      <w:r w:rsidRPr="004500EE">
        <w:rPr>
          <w:rFonts w:ascii="Arial" w:hAnsi="Arial" w:cs="Arial"/>
          <w:sz w:val="24"/>
          <w:szCs w:val="24"/>
        </w:rPr>
        <w:t>is required for pregnant individuals who have a Rh mismatch later identified following resuscitation.</w:t>
      </w:r>
    </w:p>
    <w:p w14:paraId="209C75C1" w14:textId="77777777" w:rsidR="00C11CCC" w:rsidRPr="004500EE" w:rsidRDefault="00C11CCC" w:rsidP="00387B2A">
      <w:pPr>
        <w:pStyle w:val="ListParagraph"/>
        <w:ind w:left="360" w:right="720"/>
        <w:rPr>
          <w:rFonts w:ascii="Arial" w:hAnsi="Arial" w:cs="Arial"/>
          <w:sz w:val="24"/>
          <w:szCs w:val="24"/>
        </w:rPr>
      </w:pPr>
    </w:p>
    <w:p w14:paraId="46DAF855" w14:textId="72CF44A5" w:rsidR="00C86004" w:rsidRPr="004500EE" w:rsidRDefault="00C11CCC" w:rsidP="00C86004">
      <w:pPr>
        <w:pStyle w:val="ListParagraph"/>
        <w:numPr>
          <w:ilvl w:val="0"/>
          <w:numId w:val="3"/>
        </w:numPr>
        <w:spacing w:line="240" w:lineRule="auto"/>
        <w:ind w:left="360" w:right="720"/>
        <w:rPr>
          <w:rFonts w:ascii="Arial" w:hAnsi="Arial" w:cs="Arial"/>
          <w:sz w:val="24"/>
          <w:szCs w:val="24"/>
        </w:rPr>
      </w:pPr>
      <w:r w:rsidRPr="004500EE">
        <w:rPr>
          <w:rFonts w:ascii="Arial" w:hAnsi="Arial" w:cs="Arial"/>
          <w:sz w:val="24"/>
          <w:szCs w:val="24"/>
        </w:rPr>
        <w:t xml:space="preserve">All Rh-negative women should be counseled about risks to their </w:t>
      </w:r>
      <w:r w:rsidR="00387B2A" w:rsidRPr="004500EE">
        <w:rPr>
          <w:rFonts w:ascii="Arial" w:hAnsi="Arial" w:cs="Arial"/>
          <w:sz w:val="24"/>
          <w:szCs w:val="24"/>
        </w:rPr>
        <w:t xml:space="preserve">future </w:t>
      </w:r>
      <w:r w:rsidRPr="004500EE">
        <w:rPr>
          <w:rFonts w:ascii="Arial" w:hAnsi="Arial" w:cs="Arial"/>
          <w:sz w:val="24"/>
          <w:szCs w:val="24"/>
        </w:rPr>
        <w:t xml:space="preserve">pregnancies and followed by </w:t>
      </w:r>
      <w:r w:rsidR="00E31393">
        <w:rPr>
          <w:rFonts w:ascii="Arial" w:hAnsi="Arial" w:cs="Arial"/>
          <w:sz w:val="24"/>
          <w:szCs w:val="24"/>
        </w:rPr>
        <w:t>a w</w:t>
      </w:r>
      <w:r w:rsidRPr="004500EE">
        <w:rPr>
          <w:rFonts w:ascii="Arial" w:hAnsi="Arial" w:cs="Arial"/>
          <w:sz w:val="24"/>
          <w:szCs w:val="24"/>
        </w:rPr>
        <w:t xml:space="preserve">omen’s </w:t>
      </w:r>
      <w:r w:rsidR="00E31393">
        <w:rPr>
          <w:rFonts w:ascii="Arial" w:hAnsi="Arial" w:cs="Arial"/>
          <w:sz w:val="24"/>
          <w:szCs w:val="24"/>
        </w:rPr>
        <w:t>h</w:t>
      </w:r>
      <w:r w:rsidRPr="004500EE">
        <w:rPr>
          <w:rFonts w:ascii="Arial" w:hAnsi="Arial" w:cs="Arial"/>
          <w:sz w:val="24"/>
          <w:szCs w:val="24"/>
        </w:rPr>
        <w:t xml:space="preserve">ealth </w:t>
      </w:r>
      <w:r w:rsidR="00E31393">
        <w:rPr>
          <w:rFonts w:ascii="Arial" w:hAnsi="Arial" w:cs="Arial"/>
          <w:sz w:val="24"/>
          <w:szCs w:val="24"/>
        </w:rPr>
        <w:t>p</w:t>
      </w:r>
      <w:r w:rsidRPr="004500EE">
        <w:rPr>
          <w:rFonts w:ascii="Arial" w:hAnsi="Arial" w:cs="Arial"/>
          <w:sz w:val="24"/>
          <w:szCs w:val="24"/>
        </w:rPr>
        <w:t>rovider in cases of Rh alloimmunization.</w:t>
      </w:r>
    </w:p>
    <w:p w14:paraId="0E4C5800" w14:textId="54E51CAB" w:rsidR="008D4B7D" w:rsidRPr="004500EE" w:rsidRDefault="008D4B7D" w:rsidP="00387B2A">
      <w:pPr>
        <w:spacing w:line="240" w:lineRule="auto"/>
        <w:ind w:right="720"/>
        <w:contextualSpacing/>
        <w:rPr>
          <w:rFonts w:ascii="Arial" w:hAnsi="Arial" w:cs="Arial"/>
          <w:b/>
          <w:bCs/>
          <w:sz w:val="24"/>
          <w:szCs w:val="24"/>
          <w:u w:val="single"/>
        </w:rPr>
      </w:pPr>
      <w:r w:rsidRPr="004500EE">
        <w:rPr>
          <w:rFonts w:ascii="Arial" w:hAnsi="Arial" w:cs="Arial"/>
          <w:b/>
          <w:bCs/>
          <w:sz w:val="24"/>
          <w:szCs w:val="24"/>
          <w:u w:val="single"/>
        </w:rPr>
        <w:t>Documentation requirements:</w:t>
      </w:r>
    </w:p>
    <w:p w14:paraId="24C66C87" w14:textId="7C61DBA8" w:rsidR="00633743" w:rsidRPr="004500EE" w:rsidRDefault="00633743" w:rsidP="00387B2A">
      <w:pPr>
        <w:pStyle w:val="ListParagraph"/>
        <w:numPr>
          <w:ilvl w:val="0"/>
          <w:numId w:val="4"/>
        </w:numPr>
        <w:spacing w:line="240" w:lineRule="auto"/>
        <w:ind w:left="360" w:right="720"/>
        <w:rPr>
          <w:rFonts w:ascii="Arial" w:hAnsi="Arial" w:cs="Arial"/>
          <w:sz w:val="24"/>
          <w:szCs w:val="24"/>
        </w:rPr>
      </w:pPr>
      <w:r w:rsidRPr="004500EE">
        <w:rPr>
          <w:rFonts w:ascii="Arial" w:hAnsi="Arial" w:cs="Arial"/>
          <w:sz w:val="24"/>
          <w:szCs w:val="24"/>
        </w:rPr>
        <w:t xml:space="preserve">When administering LTOWB to </w:t>
      </w:r>
      <w:r w:rsidR="00DB6A88" w:rsidRPr="004500EE">
        <w:rPr>
          <w:rFonts w:ascii="Arial" w:hAnsi="Arial" w:cs="Arial"/>
          <w:sz w:val="24"/>
          <w:szCs w:val="24"/>
        </w:rPr>
        <w:t xml:space="preserve">a </w:t>
      </w:r>
      <w:r w:rsidRPr="004500EE">
        <w:rPr>
          <w:rFonts w:ascii="Arial" w:hAnsi="Arial" w:cs="Arial"/>
          <w:sz w:val="24"/>
          <w:szCs w:val="24"/>
        </w:rPr>
        <w:t xml:space="preserve">reproductive-aged female, </w:t>
      </w:r>
      <w:r w:rsidR="00DB6A88" w:rsidRPr="004500EE">
        <w:rPr>
          <w:rFonts w:ascii="Arial" w:hAnsi="Arial" w:cs="Arial"/>
          <w:sz w:val="24"/>
          <w:szCs w:val="24"/>
        </w:rPr>
        <w:t xml:space="preserve">prehospital </w:t>
      </w:r>
      <w:r w:rsidR="00C11CCC" w:rsidRPr="004500EE">
        <w:rPr>
          <w:rFonts w:ascii="Arial" w:hAnsi="Arial" w:cs="Arial"/>
          <w:sz w:val="24"/>
          <w:szCs w:val="24"/>
        </w:rPr>
        <w:t xml:space="preserve">teams </w:t>
      </w:r>
      <w:r w:rsidR="00DB6A88" w:rsidRPr="004500EE">
        <w:rPr>
          <w:rFonts w:ascii="Arial" w:hAnsi="Arial" w:cs="Arial"/>
          <w:sz w:val="24"/>
          <w:szCs w:val="24"/>
        </w:rPr>
        <w:t>must notify the receiving facility of this</w:t>
      </w:r>
      <w:r w:rsidR="004500EE" w:rsidRPr="004500EE">
        <w:rPr>
          <w:rFonts w:ascii="Arial" w:hAnsi="Arial" w:cs="Arial"/>
          <w:sz w:val="24"/>
          <w:szCs w:val="24"/>
        </w:rPr>
        <w:t xml:space="preserve"> life-saving treatment</w:t>
      </w:r>
      <w:r w:rsidR="00DB6A88" w:rsidRPr="004500EE">
        <w:rPr>
          <w:rFonts w:ascii="Arial" w:hAnsi="Arial" w:cs="Arial"/>
          <w:sz w:val="24"/>
          <w:szCs w:val="24"/>
        </w:rPr>
        <w:t>.</w:t>
      </w:r>
    </w:p>
    <w:p w14:paraId="75E5BC86" w14:textId="77777777" w:rsidR="00C11CCC" w:rsidRPr="004500EE" w:rsidRDefault="00C11CCC" w:rsidP="00387B2A">
      <w:pPr>
        <w:pStyle w:val="ListParagraph"/>
        <w:spacing w:line="240" w:lineRule="auto"/>
        <w:ind w:left="360" w:right="720"/>
        <w:rPr>
          <w:rFonts w:ascii="Arial" w:hAnsi="Arial" w:cs="Arial"/>
          <w:sz w:val="24"/>
          <w:szCs w:val="24"/>
        </w:rPr>
      </w:pPr>
    </w:p>
    <w:p w14:paraId="514CA655" w14:textId="148956EB" w:rsidR="00C11CCC" w:rsidRDefault="00633743" w:rsidP="00387B2A">
      <w:pPr>
        <w:pStyle w:val="ListParagraph"/>
        <w:numPr>
          <w:ilvl w:val="0"/>
          <w:numId w:val="4"/>
        </w:numPr>
        <w:spacing w:line="240" w:lineRule="auto"/>
        <w:ind w:left="360" w:right="720"/>
        <w:rPr>
          <w:rFonts w:ascii="Arial" w:hAnsi="Arial" w:cs="Arial"/>
          <w:sz w:val="24"/>
          <w:szCs w:val="24"/>
        </w:rPr>
      </w:pPr>
      <w:r w:rsidRPr="004500EE">
        <w:rPr>
          <w:rFonts w:ascii="Arial" w:hAnsi="Arial" w:cs="Arial"/>
          <w:sz w:val="24"/>
          <w:szCs w:val="24"/>
        </w:rPr>
        <w:t xml:space="preserve">When </w:t>
      </w:r>
      <w:r w:rsidR="00651A34">
        <w:rPr>
          <w:rFonts w:ascii="Arial" w:hAnsi="Arial" w:cs="Arial"/>
          <w:sz w:val="24"/>
          <w:szCs w:val="24"/>
        </w:rPr>
        <w:t xml:space="preserve">a </w:t>
      </w:r>
      <w:r w:rsidRPr="004500EE">
        <w:rPr>
          <w:rFonts w:ascii="Arial" w:hAnsi="Arial" w:cs="Arial"/>
          <w:sz w:val="24"/>
          <w:szCs w:val="24"/>
        </w:rPr>
        <w:t xml:space="preserve">Rh mismatch of </w:t>
      </w:r>
      <w:r w:rsidR="00651A34">
        <w:rPr>
          <w:rFonts w:ascii="Arial" w:hAnsi="Arial" w:cs="Arial"/>
          <w:sz w:val="24"/>
          <w:szCs w:val="24"/>
        </w:rPr>
        <w:t xml:space="preserve">a </w:t>
      </w:r>
      <w:r w:rsidRPr="004500EE">
        <w:rPr>
          <w:rFonts w:ascii="Arial" w:hAnsi="Arial" w:cs="Arial"/>
          <w:sz w:val="24"/>
          <w:szCs w:val="24"/>
        </w:rPr>
        <w:t>Rh negative reproductive-aged female is identified, a notification of</w:t>
      </w:r>
      <w:r w:rsidR="004500EE" w:rsidRPr="004500EE">
        <w:rPr>
          <w:rFonts w:ascii="Arial" w:hAnsi="Arial" w:cs="Arial"/>
          <w:sz w:val="24"/>
          <w:szCs w:val="24"/>
        </w:rPr>
        <w:t xml:space="preserve"> the facility’s</w:t>
      </w:r>
      <w:r w:rsidRPr="004500EE">
        <w:rPr>
          <w:rFonts w:ascii="Arial" w:hAnsi="Arial" w:cs="Arial"/>
          <w:sz w:val="24"/>
          <w:szCs w:val="24"/>
        </w:rPr>
        <w:t xml:space="preserve"> Transfusion Medicine Specialist/Pathologist or </w:t>
      </w:r>
      <w:r w:rsidR="00877D9A">
        <w:rPr>
          <w:rFonts w:ascii="Arial" w:hAnsi="Arial" w:cs="Arial"/>
          <w:sz w:val="24"/>
          <w:szCs w:val="24"/>
        </w:rPr>
        <w:t>w</w:t>
      </w:r>
      <w:r w:rsidR="00877D9A" w:rsidRPr="004500EE">
        <w:rPr>
          <w:rFonts w:ascii="Arial" w:hAnsi="Arial" w:cs="Arial"/>
          <w:sz w:val="24"/>
          <w:szCs w:val="24"/>
        </w:rPr>
        <w:t xml:space="preserve">omen’s </w:t>
      </w:r>
      <w:r w:rsidR="00877D9A">
        <w:rPr>
          <w:rFonts w:ascii="Arial" w:hAnsi="Arial" w:cs="Arial"/>
          <w:sz w:val="24"/>
          <w:szCs w:val="24"/>
        </w:rPr>
        <w:t>h</w:t>
      </w:r>
      <w:r w:rsidR="00877D9A" w:rsidRPr="004500EE">
        <w:rPr>
          <w:rFonts w:ascii="Arial" w:hAnsi="Arial" w:cs="Arial"/>
          <w:sz w:val="24"/>
          <w:szCs w:val="24"/>
        </w:rPr>
        <w:t xml:space="preserve">ealth </w:t>
      </w:r>
      <w:r w:rsidR="00877D9A">
        <w:rPr>
          <w:rFonts w:ascii="Arial" w:hAnsi="Arial" w:cs="Arial"/>
          <w:sz w:val="24"/>
          <w:szCs w:val="24"/>
        </w:rPr>
        <w:t>p</w:t>
      </w:r>
      <w:r w:rsidR="00877D9A" w:rsidRPr="004500EE">
        <w:rPr>
          <w:rFonts w:ascii="Arial" w:hAnsi="Arial" w:cs="Arial"/>
          <w:sz w:val="24"/>
          <w:szCs w:val="24"/>
        </w:rPr>
        <w:t xml:space="preserve">rovider </w:t>
      </w:r>
      <w:r w:rsidRPr="004500EE">
        <w:rPr>
          <w:rFonts w:ascii="Arial" w:hAnsi="Arial" w:cs="Arial"/>
          <w:sz w:val="24"/>
          <w:szCs w:val="24"/>
        </w:rPr>
        <w:t xml:space="preserve">is required. </w:t>
      </w:r>
      <w:r w:rsidR="00C11CCC" w:rsidRPr="004500EE">
        <w:rPr>
          <w:rFonts w:ascii="Arial" w:hAnsi="Arial" w:cs="Arial"/>
          <w:sz w:val="24"/>
          <w:szCs w:val="24"/>
        </w:rPr>
        <w:t>F</w:t>
      </w:r>
      <w:r w:rsidRPr="004500EE">
        <w:rPr>
          <w:rFonts w:ascii="Arial" w:hAnsi="Arial" w:cs="Arial"/>
          <w:sz w:val="24"/>
          <w:szCs w:val="24"/>
        </w:rPr>
        <w:t xml:space="preserve">ollow-up antibody testing at 4-14 weeks is </w:t>
      </w:r>
      <w:r w:rsidR="00C808D4" w:rsidRPr="004500EE">
        <w:rPr>
          <w:rFonts w:ascii="Arial" w:hAnsi="Arial" w:cs="Arial"/>
          <w:sz w:val="24"/>
          <w:szCs w:val="24"/>
        </w:rPr>
        <w:t>required</w:t>
      </w:r>
      <w:r w:rsidR="00C5702A" w:rsidRPr="004500EE">
        <w:rPr>
          <w:rFonts w:ascii="Arial" w:hAnsi="Arial" w:cs="Arial"/>
          <w:sz w:val="24"/>
          <w:szCs w:val="24"/>
        </w:rPr>
        <w:t xml:space="preserve"> to be established at time of discharge with either treating facility or usual health provider</w:t>
      </w:r>
      <w:r w:rsidRPr="004500EE">
        <w:rPr>
          <w:rFonts w:ascii="Arial" w:hAnsi="Arial" w:cs="Arial"/>
          <w:sz w:val="24"/>
          <w:szCs w:val="24"/>
        </w:rPr>
        <w:t xml:space="preserve">. Additional management strategies </w:t>
      </w:r>
      <w:r w:rsidR="00C808D4" w:rsidRPr="004500EE">
        <w:rPr>
          <w:rFonts w:ascii="Arial" w:hAnsi="Arial" w:cs="Arial"/>
          <w:sz w:val="24"/>
          <w:szCs w:val="24"/>
        </w:rPr>
        <w:t xml:space="preserve">that may be considered </w:t>
      </w:r>
      <w:r w:rsidRPr="004500EE">
        <w:rPr>
          <w:rFonts w:ascii="Arial" w:hAnsi="Arial" w:cs="Arial"/>
          <w:sz w:val="24"/>
          <w:szCs w:val="24"/>
        </w:rPr>
        <w:t>are provided in Best Practices.</w:t>
      </w:r>
    </w:p>
    <w:p w14:paraId="16FFCDC2" w14:textId="77777777" w:rsidR="004B68CB" w:rsidRPr="0006212A" w:rsidRDefault="004B68CB" w:rsidP="0006212A">
      <w:pPr>
        <w:pStyle w:val="ListParagraph"/>
        <w:rPr>
          <w:rFonts w:ascii="Arial" w:hAnsi="Arial" w:cs="Arial"/>
          <w:sz w:val="24"/>
          <w:szCs w:val="24"/>
        </w:rPr>
      </w:pPr>
    </w:p>
    <w:p w14:paraId="30E0631F" w14:textId="50523DB4" w:rsidR="000961F7" w:rsidRDefault="004B68CB" w:rsidP="000961F7">
      <w:pPr>
        <w:pStyle w:val="ListParagraph"/>
        <w:numPr>
          <w:ilvl w:val="0"/>
          <w:numId w:val="4"/>
        </w:numPr>
        <w:spacing w:line="240" w:lineRule="auto"/>
        <w:ind w:left="360" w:right="720"/>
        <w:rPr>
          <w:rFonts w:ascii="Arial" w:hAnsi="Arial" w:cs="Arial"/>
          <w:sz w:val="24"/>
          <w:szCs w:val="24"/>
        </w:rPr>
      </w:pPr>
      <w:r w:rsidRPr="004B68CB">
        <w:rPr>
          <w:rFonts w:ascii="Arial" w:hAnsi="Arial" w:cs="Arial"/>
          <w:sz w:val="24"/>
          <w:szCs w:val="24"/>
        </w:rPr>
        <w:t>Rh-negative reproductive-aged females who receive Rh-positive emergency-release blood will undergo routine, hospital-based quality review to ensure RhIG evaluation and follow-up were completed</w:t>
      </w:r>
    </w:p>
    <w:p w14:paraId="5F5D65E4" w14:textId="77777777" w:rsidR="000961F7" w:rsidRPr="0006212A" w:rsidRDefault="000961F7" w:rsidP="0006212A">
      <w:pPr>
        <w:pStyle w:val="ListParagraph"/>
        <w:rPr>
          <w:rFonts w:ascii="Arial" w:hAnsi="Arial" w:cs="Arial"/>
          <w:sz w:val="24"/>
          <w:szCs w:val="24"/>
        </w:rPr>
      </w:pPr>
    </w:p>
    <w:p w14:paraId="0CDD2D62" w14:textId="5A8701D4" w:rsidR="00FB312A" w:rsidRPr="0006212A" w:rsidRDefault="000961F7" w:rsidP="0006212A">
      <w:pPr>
        <w:pStyle w:val="ListParagraph"/>
        <w:numPr>
          <w:ilvl w:val="0"/>
          <w:numId w:val="4"/>
        </w:numPr>
        <w:spacing w:line="240" w:lineRule="auto"/>
        <w:ind w:right="720"/>
        <w:rPr>
          <w:rFonts w:ascii="Arial" w:hAnsi="Arial" w:cs="Arial"/>
          <w:sz w:val="24"/>
          <w:szCs w:val="24"/>
        </w:rPr>
      </w:pPr>
      <w:r w:rsidRPr="0006212A">
        <w:rPr>
          <w:rFonts w:ascii="Arial" w:hAnsi="Arial" w:cs="Arial"/>
          <w:sz w:val="24"/>
          <w:szCs w:val="24"/>
        </w:rPr>
        <w:t xml:space="preserve">If an EMS patient </w:t>
      </w:r>
      <w:r w:rsidR="00A87268" w:rsidRPr="0006212A">
        <w:rPr>
          <w:rFonts w:ascii="Arial" w:hAnsi="Arial" w:cs="Arial"/>
          <w:sz w:val="24"/>
          <w:szCs w:val="24"/>
        </w:rPr>
        <w:t xml:space="preserve">meeting the criteria of this document, </w:t>
      </w:r>
      <w:r w:rsidRPr="0006212A">
        <w:rPr>
          <w:rFonts w:ascii="Arial" w:hAnsi="Arial" w:cs="Arial"/>
          <w:sz w:val="24"/>
          <w:szCs w:val="24"/>
        </w:rPr>
        <w:t>receives blood product but subsequently refuses transport to a hospital</w:t>
      </w:r>
      <w:r w:rsidR="00FB312A" w:rsidRPr="0006212A">
        <w:rPr>
          <w:rFonts w:ascii="Arial" w:hAnsi="Arial" w:cs="Arial"/>
          <w:sz w:val="24"/>
          <w:szCs w:val="24"/>
        </w:rPr>
        <w:t>, patient should receive the information below (Important Information Regarding Rh-Positive Blood Transfusion and Pregnancy) from the EMS agency</w:t>
      </w:r>
    </w:p>
    <w:p w14:paraId="0495F14F" w14:textId="5501986E" w:rsidR="00C11CCC" w:rsidRPr="00FB312A" w:rsidRDefault="00C11CCC" w:rsidP="0006212A"/>
    <w:p w14:paraId="27E06FD6" w14:textId="487BC6FB" w:rsidR="008D4B7D" w:rsidRPr="004500EE" w:rsidRDefault="008D4B7D" w:rsidP="00387B2A">
      <w:pPr>
        <w:spacing w:line="240" w:lineRule="auto"/>
        <w:ind w:right="720"/>
        <w:contextualSpacing/>
        <w:rPr>
          <w:rFonts w:ascii="Arial" w:hAnsi="Arial" w:cs="Arial"/>
          <w:b/>
          <w:bCs/>
          <w:sz w:val="24"/>
          <w:szCs w:val="24"/>
          <w:u w:val="single"/>
        </w:rPr>
      </w:pPr>
      <w:r w:rsidRPr="004500EE">
        <w:rPr>
          <w:rFonts w:ascii="Arial" w:hAnsi="Arial" w:cs="Arial"/>
          <w:b/>
          <w:bCs/>
          <w:sz w:val="24"/>
          <w:szCs w:val="24"/>
          <w:u w:val="single"/>
        </w:rPr>
        <w:t>Best Practices</w:t>
      </w:r>
      <w:r w:rsidR="00217946" w:rsidRPr="004500EE">
        <w:rPr>
          <w:rFonts w:ascii="Arial" w:hAnsi="Arial" w:cs="Arial"/>
          <w:b/>
          <w:bCs/>
          <w:sz w:val="24"/>
          <w:szCs w:val="24"/>
          <w:u w:val="single"/>
        </w:rPr>
        <w:t xml:space="preserve"> for Reproductive-Aged Females</w:t>
      </w:r>
      <w:r w:rsidRPr="004500EE">
        <w:rPr>
          <w:rFonts w:ascii="Arial" w:hAnsi="Arial" w:cs="Arial"/>
          <w:b/>
          <w:bCs/>
          <w:sz w:val="24"/>
          <w:szCs w:val="24"/>
          <w:u w:val="single"/>
        </w:rPr>
        <w:t>:</w:t>
      </w:r>
    </w:p>
    <w:p w14:paraId="6F4E3C65" w14:textId="276FE814" w:rsidR="008D4B7D" w:rsidRPr="004500EE" w:rsidRDefault="008D4B7D" w:rsidP="00387B2A">
      <w:pPr>
        <w:spacing w:line="240" w:lineRule="auto"/>
        <w:ind w:right="720"/>
        <w:contextualSpacing/>
        <w:rPr>
          <w:rFonts w:ascii="Arial" w:hAnsi="Arial" w:cs="Arial"/>
          <w:b/>
          <w:bCs/>
          <w:sz w:val="24"/>
          <w:szCs w:val="24"/>
        </w:rPr>
      </w:pPr>
    </w:p>
    <w:p w14:paraId="28D0B6A4" w14:textId="5F5FEEB4" w:rsidR="00C808D4" w:rsidRPr="004500EE" w:rsidRDefault="00C808D4" w:rsidP="00387B2A">
      <w:pPr>
        <w:pStyle w:val="ListParagraph"/>
        <w:numPr>
          <w:ilvl w:val="0"/>
          <w:numId w:val="5"/>
        </w:numPr>
        <w:spacing w:line="240" w:lineRule="auto"/>
        <w:ind w:right="720"/>
        <w:rPr>
          <w:rFonts w:ascii="Arial" w:hAnsi="Arial" w:cs="Arial"/>
          <w:b/>
          <w:bCs/>
          <w:sz w:val="24"/>
          <w:szCs w:val="24"/>
        </w:rPr>
      </w:pPr>
      <w:r w:rsidRPr="004500EE">
        <w:rPr>
          <w:rFonts w:ascii="Arial" w:hAnsi="Arial" w:cs="Arial"/>
          <w:b/>
          <w:bCs/>
          <w:sz w:val="24"/>
          <w:szCs w:val="24"/>
        </w:rPr>
        <w:t>Example letter for reproductive-aged female patient following Rh mismatch during resuscitation:</w:t>
      </w:r>
    </w:p>
    <w:p w14:paraId="77302E0B" w14:textId="0E63590E" w:rsidR="00C808D4" w:rsidRPr="004500EE" w:rsidRDefault="00C808D4" w:rsidP="00387B2A">
      <w:pPr>
        <w:spacing w:line="240" w:lineRule="auto"/>
        <w:ind w:right="720"/>
        <w:contextualSpacing/>
        <w:rPr>
          <w:rFonts w:ascii="Arial" w:hAnsi="Arial" w:cs="Arial"/>
          <w:b/>
          <w:bCs/>
          <w:sz w:val="24"/>
          <w:szCs w:val="24"/>
        </w:rPr>
      </w:pPr>
    </w:p>
    <w:p w14:paraId="397491DB" w14:textId="77777777" w:rsidR="00C808D4" w:rsidRPr="004500EE" w:rsidRDefault="00C808D4" w:rsidP="00387B2A">
      <w:pPr>
        <w:spacing w:line="240" w:lineRule="auto"/>
        <w:ind w:left="720" w:right="720"/>
        <w:contextualSpacing/>
        <w:rPr>
          <w:rFonts w:ascii="Arial" w:hAnsi="Arial" w:cs="Arial"/>
          <w:sz w:val="24"/>
          <w:szCs w:val="24"/>
        </w:rPr>
      </w:pPr>
      <w:r w:rsidRPr="004500EE">
        <w:rPr>
          <w:rFonts w:ascii="Arial" w:hAnsi="Arial" w:cs="Arial"/>
          <w:sz w:val="24"/>
          <w:szCs w:val="24"/>
        </w:rPr>
        <w:t>[Date]</w:t>
      </w:r>
    </w:p>
    <w:p w14:paraId="4D7B54B7" w14:textId="77777777" w:rsidR="00C808D4" w:rsidRPr="004500EE" w:rsidRDefault="00C808D4" w:rsidP="00387B2A">
      <w:pPr>
        <w:spacing w:line="240" w:lineRule="auto"/>
        <w:ind w:left="720" w:right="720"/>
        <w:contextualSpacing/>
        <w:rPr>
          <w:rFonts w:ascii="Arial" w:hAnsi="Arial" w:cs="Arial"/>
          <w:sz w:val="24"/>
          <w:szCs w:val="24"/>
        </w:rPr>
      </w:pPr>
      <w:r w:rsidRPr="004500EE">
        <w:rPr>
          <w:rFonts w:ascii="Arial" w:hAnsi="Arial" w:cs="Arial"/>
          <w:sz w:val="24"/>
          <w:szCs w:val="24"/>
        </w:rPr>
        <w:t xml:space="preserve">[Patient Name] </w:t>
      </w:r>
    </w:p>
    <w:p w14:paraId="1E6E3E4C" w14:textId="43C3E6D5" w:rsidR="00C808D4" w:rsidRPr="004500EE" w:rsidRDefault="00C808D4" w:rsidP="00387B2A">
      <w:pPr>
        <w:spacing w:line="240" w:lineRule="auto"/>
        <w:ind w:left="720" w:right="720"/>
        <w:contextualSpacing/>
        <w:rPr>
          <w:rFonts w:ascii="Arial" w:hAnsi="Arial" w:cs="Arial"/>
          <w:sz w:val="24"/>
          <w:szCs w:val="24"/>
        </w:rPr>
      </w:pPr>
      <w:r w:rsidRPr="004500EE">
        <w:rPr>
          <w:rFonts w:ascii="Arial" w:hAnsi="Arial" w:cs="Arial"/>
          <w:sz w:val="24"/>
          <w:szCs w:val="24"/>
        </w:rPr>
        <w:t>[Patient Address]</w:t>
      </w:r>
    </w:p>
    <w:p w14:paraId="10A625A2" w14:textId="77777777" w:rsidR="00C808D4" w:rsidRPr="004500EE" w:rsidRDefault="00C808D4" w:rsidP="00387B2A">
      <w:pPr>
        <w:spacing w:line="240" w:lineRule="auto"/>
        <w:ind w:left="720" w:right="720"/>
        <w:contextualSpacing/>
        <w:rPr>
          <w:rFonts w:ascii="Arial" w:hAnsi="Arial" w:cs="Arial"/>
          <w:sz w:val="24"/>
          <w:szCs w:val="24"/>
        </w:rPr>
      </w:pPr>
    </w:p>
    <w:p w14:paraId="50FE7046" w14:textId="77777777" w:rsidR="00C808D4" w:rsidRPr="004500EE" w:rsidRDefault="00C808D4" w:rsidP="00387B2A">
      <w:pPr>
        <w:spacing w:line="240" w:lineRule="auto"/>
        <w:ind w:left="720" w:right="720"/>
        <w:contextualSpacing/>
        <w:rPr>
          <w:rFonts w:ascii="Arial" w:hAnsi="Arial" w:cs="Arial"/>
          <w:sz w:val="24"/>
          <w:szCs w:val="24"/>
        </w:rPr>
      </w:pPr>
      <w:r w:rsidRPr="004500EE">
        <w:rPr>
          <w:rFonts w:ascii="Arial" w:hAnsi="Arial" w:cs="Arial"/>
          <w:sz w:val="24"/>
          <w:szCs w:val="24"/>
        </w:rPr>
        <w:t>Subject: Important Information Regarding Rh-Positive Blood Transfusion and Pregnancy</w:t>
      </w:r>
    </w:p>
    <w:p w14:paraId="68A7229C" w14:textId="77777777" w:rsidR="00C808D4" w:rsidRPr="004500EE" w:rsidRDefault="00C808D4" w:rsidP="00387B2A">
      <w:pPr>
        <w:spacing w:line="240" w:lineRule="auto"/>
        <w:ind w:left="720" w:right="720"/>
        <w:contextualSpacing/>
        <w:rPr>
          <w:rFonts w:ascii="Arial" w:hAnsi="Arial" w:cs="Arial"/>
          <w:sz w:val="24"/>
          <w:szCs w:val="24"/>
        </w:rPr>
      </w:pPr>
    </w:p>
    <w:p w14:paraId="6EE7A19F" w14:textId="77777777" w:rsidR="00C808D4" w:rsidRPr="004500EE" w:rsidRDefault="00C808D4" w:rsidP="00387B2A">
      <w:pPr>
        <w:spacing w:line="240" w:lineRule="auto"/>
        <w:ind w:left="720" w:right="720"/>
        <w:contextualSpacing/>
        <w:rPr>
          <w:rFonts w:ascii="Arial" w:hAnsi="Arial" w:cs="Arial"/>
          <w:sz w:val="24"/>
          <w:szCs w:val="24"/>
        </w:rPr>
      </w:pPr>
      <w:r w:rsidRPr="004500EE">
        <w:rPr>
          <w:rFonts w:ascii="Arial" w:hAnsi="Arial" w:cs="Arial"/>
          <w:sz w:val="24"/>
          <w:szCs w:val="24"/>
        </w:rPr>
        <w:t>Dear [Patient Name],</w:t>
      </w:r>
    </w:p>
    <w:p w14:paraId="473040A1" w14:textId="77777777" w:rsidR="00C808D4" w:rsidRPr="004500EE" w:rsidRDefault="00C808D4" w:rsidP="00387B2A">
      <w:pPr>
        <w:spacing w:line="240" w:lineRule="auto"/>
        <w:ind w:left="720" w:right="720"/>
        <w:contextualSpacing/>
        <w:rPr>
          <w:rFonts w:ascii="Arial" w:hAnsi="Arial" w:cs="Arial"/>
          <w:sz w:val="24"/>
          <w:szCs w:val="24"/>
        </w:rPr>
      </w:pPr>
    </w:p>
    <w:p w14:paraId="0277A5C8" w14:textId="77777777"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 xml:space="preserve">You recently received an emergency transfusion of whole blood or red blood cells (RBCs) to help save your life. </w:t>
      </w:r>
    </w:p>
    <w:p w14:paraId="0E161BC2" w14:textId="77777777" w:rsidR="0064534C" w:rsidRPr="004500EE" w:rsidRDefault="0064534C" w:rsidP="0064534C">
      <w:pPr>
        <w:spacing w:line="240" w:lineRule="auto"/>
        <w:ind w:left="720" w:right="720"/>
        <w:contextualSpacing/>
        <w:rPr>
          <w:rFonts w:ascii="Arial" w:hAnsi="Arial" w:cs="Arial"/>
          <w:sz w:val="24"/>
          <w:szCs w:val="24"/>
        </w:rPr>
      </w:pPr>
    </w:p>
    <w:p w14:paraId="431F8F92" w14:textId="7FCD9D3D"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 xml:space="preserve">What is Rh(D)? </w:t>
      </w:r>
    </w:p>
    <w:p w14:paraId="337B9F97" w14:textId="77777777" w:rsidR="0064534C" w:rsidRPr="004500EE" w:rsidRDefault="0064534C" w:rsidP="0064534C">
      <w:pPr>
        <w:spacing w:line="240" w:lineRule="auto"/>
        <w:ind w:left="720" w:right="720"/>
        <w:contextualSpacing/>
        <w:rPr>
          <w:rFonts w:ascii="Arial" w:hAnsi="Arial" w:cs="Arial"/>
          <w:sz w:val="24"/>
          <w:szCs w:val="24"/>
        </w:rPr>
      </w:pPr>
    </w:p>
    <w:p w14:paraId="2CD3AA6F" w14:textId="013398DA"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Rh(D) is a protein found on the surface of red blood cells. If your blood has this protein, you are considered Rh(D) positive. If your blood does not have the protein, you are Rh(D) negative. The "+" or "–" sign you might see after your blood type indicates whether you are Rh(D) positive or negative.</w:t>
      </w:r>
    </w:p>
    <w:p w14:paraId="092A1A6A" w14:textId="77777777" w:rsidR="0064534C" w:rsidRPr="004500EE" w:rsidRDefault="0064534C" w:rsidP="0064534C">
      <w:pPr>
        <w:spacing w:line="240" w:lineRule="auto"/>
        <w:ind w:left="720" w:right="720"/>
        <w:contextualSpacing/>
        <w:rPr>
          <w:rFonts w:ascii="Arial" w:hAnsi="Arial" w:cs="Arial"/>
          <w:sz w:val="24"/>
          <w:szCs w:val="24"/>
        </w:rPr>
      </w:pPr>
    </w:p>
    <w:p w14:paraId="4F3E3F5D" w14:textId="28A626C5"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Why is this Important for Me to Know?</w:t>
      </w:r>
    </w:p>
    <w:p w14:paraId="6156203F" w14:textId="77777777" w:rsidR="0064534C" w:rsidRPr="004500EE" w:rsidRDefault="0064534C" w:rsidP="0064534C">
      <w:pPr>
        <w:spacing w:line="240" w:lineRule="auto"/>
        <w:ind w:left="720" w:right="720"/>
        <w:contextualSpacing/>
        <w:rPr>
          <w:rFonts w:ascii="Arial" w:hAnsi="Arial" w:cs="Arial"/>
          <w:sz w:val="24"/>
          <w:szCs w:val="24"/>
        </w:rPr>
      </w:pPr>
    </w:p>
    <w:p w14:paraId="2211A0DD" w14:textId="2F44113D"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 xml:space="preserve">You have an Rh(D) negative blood type, but the blood you received was Rh(D) positive. This means there is a small chance your body could produce antibodies against Rh(D), called anti-D antibodies. This process is known as alloimmunization. </w:t>
      </w:r>
    </w:p>
    <w:p w14:paraId="24C2F49A" w14:textId="77777777" w:rsidR="0064534C" w:rsidRPr="004500EE" w:rsidRDefault="0064534C" w:rsidP="0064534C">
      <w:pPr>
        <w:spacing w:line="240" w:lineRule="auto"/>
        <w:ind w:left="720" w:right="720"/>
        <w:contextualSpacing/>
        <w:rPr>
          <w:rFonts w:ascii="Arial" w:hAnsi="Arial" w:cs="Arial"/>
          <w:sz w:val="24"/>
          <w:szCs w:val="24"/>
        </w:rPr>
      </w:pPr>
    </w:p>
    <w:p w14:paraId="1954FC1B" w14:textId="401FF33B"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 xml:space="preserve">While these antibodies won’t affect your own health, they could pose a risk during future pregnancies. If you have anti-D antibodies, they could cause hemolytic disease of the fetus and newborn (HDFN), which may lead to low blood counts (anemia) in the baby during pregnancy. With early and proper prenatal care, HDFN can be managed and treated successfully. </w:t>
      </w:r>
    </w:p>
    <w:p w14:paraId="22F4E532" w14:textId="77777777" w:rsidR="0064534C" w:rsidRPr="004500EE" w:rsidRDefault="0064534C" w:rsidP="0064534C">
      <w:pPr>
        <w:spacing w:line="240" w:lineRule="auto"/>
        <w:ind w:left="720" w:right="720"/>
        <w:contextualSpacing/>
        <w:rPr>
          <w:rFonts w:ascii="Arial" w:hAnsi="Arial" w:cs="Arial"/>
          <w:sz w:val="24"/>
          <w:szCs w:val="24"/>
        </w:rPr>
      </w:pPr>
    </w:p>
    <w:p w14:paraId="6C5845AA" w14:textId="662E8D70"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What Should I Do Next?</w:t>
      </w:r>
    </w:p>
    <w:p w14:paraId="0C5BF0C5" w14:textId="77777777" w:rsidR="0064534C" w:rsidRPr="004500EE" w:rsidRDefault="0064534C" w:rsidP="0064534C">
      <w:pPr>
        <w:spacing w:line="240" w:lineRule="auto"/>
        <w:ind w:left="720" w:right="720"/>
        <w:contextualSpacing/>
        <w:rPr>
          <w:rFonts w:ascii="Arial" w:hAnsi="Arial" w:cs="Arial"/>
          <w:sz w:val="24"/>
          <w:szCs w:val="24"/>
        </w:rPr>
      </w:pPr>
    </w:p>
    <w:p w14:paraId="11756AE5" w14:textId="28096B09"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 xml:space="preserve">You should have a blood test called a Type and Screen to check whether you have developed anti-D antibodies. If you have, your healthcare team will give you more information on what steps to take in the future, especially if you are planning a pregnancy. In the meantime, we recommend learning about what to expect in pregnancies affected by anti-D antibodies. You can find helpful resources and information at The </w:t>
      </w:r>
      <w:proofErr w:type="spellStart"/>
      <w:r w:rsidRPr="0064534C">
        <w:rPr>
          <w:rFonts w:ascii="Arial" w:hAnsi="Arial" w:cs="Arial"/>
          <w:sz w:val="24"/>
          <w:szCs w:val="24"/>
        </w:rPr>
        <w:t>Allo</w:t>
      </w:r>
      <w:proofErr w:type="spellEnd"/>
      <w:r w:rsidRPr="0064534C">
        <w:rPr>
          <w:rFonts w:ascii="Arial" w:hAnsi="Arial" w:cs="Arial"/>
          <w:sz w:val="24"/>
          <w:szCs w:val="24"/>
        </w:rPr>
        <w:t xml:space="preserve"> Hope Foundation website: </w:t>
      </w:r>
      <w:hyperlink r:id="rId8" w:history="1">
        <w:r w:rsidRPr="0064534C">
          <w:rPr>
            <w:rStyle w:val="Hyperlink"/>
            <w:rFonts w:ascii="Arial" w:hAnsi="Arial" w:cs="Arial"/>
            <w:sz w:val="24"/>
            <w:szCs w:val="24"/>
          </w:rPr>
          <w:t>www.allohopefoundation.org</w:t>
        </w:r>
      </w:hyperlink>
      <w:r w:rsidRPr="0064534C">
        <w:rPr>
          <w:rFonts w:ascii="Arial" w:hAnsi="Arial" w:cs="Arial"/>
          <w:sz w:val="24"/>
          <w:szCs w:val="24"/>
        </w:rPr>
        <w:t>.</w:t>
      </w:r>
    </w:p>
    <w:p w14:paraId="61FB5F83" w14:textId="77777777" w:rsidR="0064534C" w:rsidRPr="004500EE" w:rsidRDefault="0064534C" w:rsidP="0064534C">
      <w:pPr>
        <w:spacing w:line="240" w:lineRule="auto"/>
        <w:ind w:left="720" w:right="720"/>
        <w:contextualSpacing/>
        <w:rPr>
          <w:rFonts w:ascii="Arial" w:hAnsi="Arial" w:cs="Arial"/>
          <w:sz w:val="24"/>
          <w:szCs w:val="24"/>
        </w:rPr>
      </w:pPr>
    </w:p>
    <w:p w14:paraId="60928877" w14:textId="3E306765" w:rsidR="0064534C" w:rsidRPr="0064534C" w:rsidRDefault="0064534C" w:rsidP="0064534C">
      <w:pPr>
        <w:spacing w:line="240" w:lineRule="auto"/>
        <w:ind w:left="720" w:right="720"/>
        <w:contextualSpacing/>
        <w:rPr>
          <w:rFonts w:ascii="Arial" w:hAnsi="Arial" w:cs="Arial"/>
          <w:sz w:val="24"/>
          <w:szCs w:val="24"/>
        </w:rPr>
      </w:pPr>
      <w:r w:rsidRPr="0064534C">
        <w:rPr>
          <w:rFonts w:ascii="Arial" w:hAnsi="Arial" w:cs="Arial"/>
          <w:sz w:val="24"/>
          <w:szCs w:val="24"/>
        </w:rPr>
        <w:t>For any immediate questions, please contact your healthcare provider.</w:t>
      </w:r>
    </w:p>
    <w:p w14:paraId="22AD05E5" w14:textId="4360EF7C" w:rsidR="00C808D4" w:rsidRPr="004500EE" w:rsidRDefault="00C808D4" w:rsidP="00387B2A">
      <w:pPr>
        <w:spacing w:line="240" w:lineRule="auto"/>
        <w:ind w:left="720" w:right="720"/>
        <w:contextualSpacing/>
        <w:rPr>
          <w:rFonts w:ascii="Arial" w:hAnsi="Arial" w:cs="Arial"/>
          <w:sz w:val="24"/>
          <w:szCs w:val="24"/>
        </w:rPr>
      </w:pPr>
      <w:r w:rsidRPr="004500EE">
        <w:rPr>
          <w:rFonts w:ascii="Arial" w:hAnsi="Arial" w:cs="Arial"/>
          <w:sz w:val="24"/>
          <w:szCs w:val="24"/>
        </w:rPr>
        <w:t>pregnancies.</w:t>
      </w:r>
    </w:p>
    <w:p w14:paraId="28B2E368" w14:textId="77777777" w:rsidR="00C808D4" w:rsidRPr="004500EE" w:rsidRDefault="00C808D4" w:rsidP="00387B2A">
      <w:pPr>
        <w:spacing w:line="240" w:lineRule="auto"/>
        <w:ind w:left="720" w:right="720"/>
        <w:contextualSpacing/>
        <w:rPr>
          <w:rFonts w:ascii="Arial" w:hAnsi="Arial" w:cs="Arial"/>
          <w:sz w:val="24"/>
          <w:szCs w:val="24"/>
        </w:rPr>
      </w:pPr>
    </w:p>
    <w:p w14:paraId="6E8E42AB" w14:textId="43A1CC5C" w:rsidR="00C808D4" w:rsidRPr="004500EE" w:rsidRDefault="00C808D4" w:rsidP="00C86004">
      <w:pPr>
        <w:spacing w:line="240" w:lineRule="auto"/>
        <w:ind w:left="720" w:right="720"/>
        <w:contextualSpacing/>
        <w:rPr>
          <w:rFonts w:ascii="Arial" w:hAnsi="Arial" w:cs="Arial"/>
          <w:b/>
          <w:bCs/>
          <w:sz w:val="24"/>
          <w:szCs w:val="24"/>
        </w:rPr>
      </w:pPr>
      <w:r w:rsidRPr="004500EE">
        <w:rPr>
          <w:rFonts w:ascii="Arial" w:hAnsi="Arial" w:cs="Arial"/>
          <w:b/>
          <w:bCs/>
          <w:sz w:val="24"/>
          <w:szCs w:val="24"/>
        </w:rPr>
        <w:t>Important Steps to Take: Complete antibody testing at least 4-14 weeks after exposure, either at [treating facility] or with your usual health care provider</w:t>
      </w:r>
    </w:p>
    <w:p w14:paraId="4167EC49" w14:textId="4AF7DCE2" w:rsidR="00C808D4" w:rsidRDefault="00C808D4" w:rsidP="00387B2A">
      <w:pPr>
        <w:spacing w:line="240" w:lineRule="auto"/>
        <w:ind w:right="720"/>
        <w:contextualSpacing/>
        <w:rPr>
          <w:rFonts w:ascii="Arial" w:hAnsi="Arial" w:cs="Arial"/>
          <w:sz w:val="24"/>
          <w:szCs w:val="24"/>
        </w:rPr>
      </w:pPr>
    </w:p>
    <w:p w14:paraId="78BC0D57" w14:textId="77777777" w:rsidR="00651A34" w:rsidRDefault="00651A34" w:rsidP="00387B2A">
      <w:pPr>
        <w:spacing w:line="240" w:lineRule="auto"/>
        <w:ind w:right="720"/>
        <w:contextualSpacing/>
        <w:rPr>
          <w:rFonts w:ascii="Arial" w:hAnsi="Arial" w:cs="Arial"/>
          <w:sz w:val="24"/>
          <w:szCs w:val="24"/>
        </w:rPr>
      </w:pPr>
    </w:p>
    <w:p w14:paraId="3582106C" w14:textId="77777777" w:rsidR="00651A34" w:rsidRDefault="00651A34" w:rsidP="00387B2A">
      <w:pPr>
        <w:spacing w:line="240" w:lineRule="auto"/>
        <w:ind w:right="720"/>
        <w:contextualSpacing/>
        <w:rPr>
          <w:rFonts w:ascii="Arial" w:hAnsi="Arial" w:cs="Arial"/>
          <w:sz w:val="24"/>
          <w:szCs w:val="24"/>
        </w:rPr>
      </w:pPr>
    </w:p>
    <w:p w14:paraId="35B51B89" w14:textId="05BE8326" w:rsidR="00C808D4" w:rsidRPr="004500EE" w:rsidRDefault="00651A34" w:rsidP="00387B2A">
      <w:pPr>
        <w:pStyle w:val="ListParagraph"/>
        <w:numPr>
          <w:ilvl w:val="0"/>
          <w:numId w:val="5"/>
        </w:numPr>
        <w:spacing w:line="240" w:lineRule="auto"/>
        <w:ind w:right="720"/>
        <w:rPr>
          <w:rFonts w:ascii="Arial" w:hAnsi="Arial" w:cs="Arial"/>
          <w:b/>
          <w:bCs/>
          <w:sz w:val="24"/>
          <w:szCs w:val="24"/>
        </w:rPr>
      </w:pPr>
      <w:r>
        <w:rPr>
          <w:rFonts w:ascii="Arial" w:hAnsi="Arial" w:cs="Arial"/>
          <w:b/>
          <w:bCs/>
          <w:sz w:val="24"/>
          <w:szCs w:val="24"/>
        </w:rPr>
        <w:lastRenderedPageBreak/>
        <w:t>E</w:t>
      </w:r>
      <w:r w:rsidR="00C808D4" w:rsidRPr="004500EE">
        <w:rPr>
          <w:rFonts w:ascii="Arial" w:hAnsi="Arial" w:cs="Arial"/>
          <w:b/>
          <w:bCs/>
          <w:sz w:val="24"/>
          <w:szCs w:val="24"/>
        </w:rPr>
        <w:t>xample treatment algorithm for Rh mismatch</w:t>
      </w:r>
      <w:r w:rsidR="00217946" w:rsidRPr="004500EE">
        <w:rPr>
          <w:rFonts w:ascii="Arial" w:hAnsi="Arial" w:cs="Arial"/>
          <w:b/>
          <w:bCs/>
          <w:sz w:val="24"/>
          <w:szCs w:val="24"/>
        </w:rPr>
        <w:t xml:space="preserve"> in reproductive-aged female for use of RhIG</w:t>
      </w:r>
      <w:r w:rsidR="00C808D4" w:rsidRPr="004500EE">
        <w:rPr>
          <w:rFonts w:ascii="Arial" w:hAnsi="Arial" w:cs="Arial"/>
          <w:b/>
          <w:bCs/>
          <w:sz w:val="24"/>
          <w:szCs w:val="24"/>
        </w:rPr>
        <w:t xml:space="preserve">. </w:t>
      </w:r>
      <w:r w:rsidR="00217946" w:rsidRPr="004500EE">
        <w:rPr>
          <w:rFonts w:ascii="Arial" w:hAnsi="Arial" w:cs="Arial"/>
          <w:b/>
          <w:bCs/>
          <w:sz w:val="24"/>
          <w:szCs w:val="24"/>
        </w:rPr>
        <w:t>Specific treatment recommendations can be found in references.</w:t>
      </w:r>
    </w:p>
    <w:p w14:paraId="580DD0F3" w14:textId="13E9F6DB" w:rsidR="00C808D4" w:rsidRPr="004500EE" w:rsidRDefault="00C808D4" w:rsidP="00387B2A">
      <w:pPr>
        <w:pStyle w:val="ListParagraph"/>
        <w:spacing w:line="240" w:lineRule="auto"/>
        <w:ind w:left="0" w:right="720"/>
        <w:jc w:val="center"/>
        <w:rPr>
          <w:rFonts w:ascii="Arial" w:hAnsi="Arial" w:cs="Arial"/>
          <w:sz w:val="24"/>
          <w:szCs w:val="24"/>
        </w:rPr>
      </w:pPr>
      <w:r w:rsidRPr="004500EE">
        <w:rPr>
          <w:rFonts w:ascii="Arial" w:hAnsi="Arial" w:cs="Arial"/>
          <w:noProof/>
          <w:sz w:val="24"/>
          <w:szCs w:val="24"/>
        </w:rPr>
        <w:drawing>
          <wp:inline distT="0" distB="0" distL="0" distR="0" wp14:anchorId="11AFEF1A" wp14:editId="6AEC91A9">
            <wp:extent cx="6632969" cy="344545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8773" cy="3464057"/>
                    </a:xfrm>
                    <a:prstGeom prst="rect">
                      <a:avLst/>
                    </a:prstGeom>
                  </pic:spPr>
                </pic:pic>
              </a:graphicData>
            </a:graphic>
          </wp:inline>
        </w:drawing>
      </w:r>
    </w:p>
    <w:p w14:paraId="4EE1335E" w14:textId="77777777" w:rsidR="00651A34" w:rsidRDefault="00651A34" w:rsidP="00387B2A">
      <w:pPr>
        <w:spacing w:line="240" w:lineRule="auto"/>
        <w:ind w:right="720"/>
        <w:contextualSpacing/>
        <w:rPr>
          <w:rFonts w:ascii="Arial" w:hAnsi="Arial" w:cs="Arial"/>
          <w:b/>
          <w:bCs/>
          <w:sz w:val="24"/>
          <w:szCs w:val="24"/>
        </w:rPr>
      </w:pPr>
    </w:p>
    <w:p w14:paraId="6DD5BC96" w14:textId="5E892870" w:rsidR="00285C6A" w:rsidRDefault="00C808D4" w:rsidP="00387B2A">
      <w:pPr>
        <w:spacing w:line="240" w:lineRule="auto"/>
        <w:ind w:right="720"/>
        <w:contextualSpacing/>
        <w:rPr>
          <w:rFonts w:ascii="Arial" w:hAnsi="Arial" w:cs="Arial"/>
          <w:b/>
          <w:bCs/>
          <w:sz w:val="24"/>
          <w:szCs w:val="24"/>
        </w:rPr>
      </w:pPr>
      <w:r w:rsidRPr="004500EE">
        <w:rPr>
          <w:rFonts w:ascii="Arial" w:hAnsi="Arial" w:cs="Arial"/>
          <w:b/>
          <w:bCs/>
          <w:sz w:val="24"/>
          <w:szCs w:val="24"/>
        </w:rPr>
        <w:t>Note: some organizations may use differing threshold of total blood volume transfused in Rh mismatch, including observation only</w:t>
      </w:r>
      <w:r w:rsidR="0064534C" w:rsidRPr="004500EE">
        <w:rPr>
          <w:rFonts w:ascii="Arial" w:hAnsi="Arial" w:cs="Arial"/>
          <w:b/>
          <w:bCs/>
          <w:sz w:val="24"/>
          <w:szCs w:val="24"/>
        </w:rPr>
        <w:t>.</w:t>
      </w:r>
    </w:p>
    <w:p w14:paraId="4E143058" w14:textId="77777777" w:rsidR="00651A34" w:rsidRDefault="00651A34" w:rsidP="00387B2A">
      <w:pPr>
        <w:spacing w:line="240" w:lineRule="auto"/>
        <w:ind w:right="720"/>
        <w:contextualSpacing/>
        <w:rPr>
          <w:rFonts w:ascii="Arial" w:hAnsi="Arial" w:cs="Arial"/>
          <w:b/>
          <w:bCs/>
          <w:sz w:val="24"/>
          <w:szCs w:val="24"/>
        </w:rPr>
      </w:pPr>
    </w:p>
    <w:p w14:paraId="553E1782" w14:textId="77777777" w:rsidR="00651A34" w:rsidRDefault="00651A34" w:rsidP="00387B2A">
      <w:pPr>
        <w:spacing w:line="240" w:lineRule="auto"/>
        <w:ind w:right="720"/>
        <w:contextualSpacing/>
        <w:rPr>
          <w:rFonts w:ascii="Arial" w:hAnsi="Arial" w:cs="Arial"/>
          <w:b/>
          <w:bCs/>
          <w:sz w:val="24"/>
          <w:szCs w:val="24"/>
        </w:rPr>
      </w:pPr>
    </w:p>
    <w:p w14:paraId="33ED2265" w14:textId="77777777" w:rsidR="00651A34" w:rsidRDefault="00651A34" w:rsidP="00387B2A">
      <w:pPr>
        <w:spacing w:line="240" w:lineRule="auto"/>
        <w:ind w:right="720"/>
        <w:contextualSpacing/>
        <w:rPr>
          <w:rFonts w:ascii="Arial" w:hAnsi="Arial" w:cs="Arial"/>
          <w:b/>
          <w:bCs/>
          <w:sz w:val="24"/>
          <w:szCs w:val="24"/>
        </w:rPr>
      </w:pPr>
    </w:p>
    <w:p w14:paraId="33326AF8" w14:textId="77777777" w:rsidR="00651A34" w:rsidRDefault="00651A34" w:rsidP="00387B2A">
      <w:pPr>
        <w:spacing w:line="240" w:lineRule="auto"/>
        <w:ind w:right="720"/>
        <w:contextualSpacing/>
        <w:rPr>
          <w:rFonts w:ascii="Arial" w:hAnsi="Arial" w:cs="Arial"/>
          <w:b/>
          <w:bCs/>
          <w:sz w:val="24"/>
          <w:szCs w:val="24"/>
        </w:rPr>
      </w:pPr>
    </w:p>
    <w:p w14:paraId="0B2704A3" w14:textId="307C7F75" w:rsidR="008D4B7D" w:rsidRPr="00651A34" w:rsidRDefault="008D4B7D" w:rsidP="00387B2A">
      <w:pPr>
        <w:spacing w:line="240" w:lineRule="auto"/>
        <w:ind w:right="720"/>
        <w:contextualSpacing/>
        <w:rPr>
          <w:rFonts w:ascii="Arial" w:hAnsi="Arial" w:cs="Arial"/>
          <w:b/>
          <w:bCs/>
          <w:sz w:val="24"/>
          <w:szCs w:val="24"/>
        </w:rPr>
      </w:pPr>
      <w:r w:rsidRPr="00651A34">
        <w:rPr>
          <w:rFonts w:ascii="Arial" w:hAnsi="Arial" w:cs="Arial"/>
          <w:b/>
          <w:bCs/>
          <w:sz w:val="24"/>
          <w:szCs w:val="24"/>
        </w:rPr>
        <w:t>References:</w:t>
      </w:r>
    </w:p>
    <w:p w14:paraId="041C589C" w14:textId="2CADE3C2" w:rsidR="00C11CCC" w:rsidRPr="00651A34" w:rsidRDefault="00C11CCC" w:rsidP="00651A34">
      <w:pPr>
        <w:pStyle w:val="ListParagraph"/>
        <w:numPr>
          <w:ilvl w:val="0"/>
          <w:numId w:val="8"/>
        </w:numPr>
        <w:rPr>
          <w:rFonts w:ascii="Arial" w:hAnsi="Arial" w:cs="Arial"/>
          <w:sz w:val="24"/>
          <w:szCs w:val="24"/>
        </w:rPr>
      </w:pPr>
      <w:r w:rsidRPr="00651A34">
        <w:rPr>
          <w:rFonts w:ascii="Arial" w:hAnsi="Arial" w:cs="Arial"/>
          <w:sz w:val="24"/>
          <w:szCs w:val="24"/>
        </w:rPr>
        <w:t xml:space="preserve">Critical Care and Trauma. In: Cunningham F, </w:t>
      </w:r>
      <w:proofErr w:type="spellStart"/>
      <w:r w:rsidRPr="00651A34">
        <w:rPr>
          <w:rFonts w:ascii="Arial" w:hAnsi="Arial" w:cs="Arial"/>
          <w:sz w:val="24"/>
          <w:szCs w:val="24"/>
        </w:rPr>
        <w:t>Leveno</w:t>
      </w:r>
      <w:proofErr w:type="spellEnd"/>
      <w:r w:rsidRPr="00651A34">
        <w:rPr>
          <w:rFonts w:ascii="Arial" w:hAnsi="Arial" w:cs="Arial"/>
          <w:sz w:val="24"/>
          <w:szCs w:val="24"/>
        </w:rPr>
        <w:t xml:space="preserve"> KJ, Dashe JS, Hoffman BL, Spong CY, Casey BM. eds. Williams Obstetrics, 26e. McGraw Hill; 2022.</w:t>
      </w:r>
    </w:p>
    <w:p w14:paraId="7A00D86F" w14:textId="719CFA5F" w:rsidR="00217946" w:rsidRPr="00651A34" w:rsidRDefault="00C11CCC" w:rsidP="00651A34">
      <w:pPr>
        <w:pStyle w:val="ListParagraph"/>
        <w:numPr>
          <w:ilvl w:val="0"/>
          <w:numId w:val="8"/>
        </w:numPr>
        <w:rPr>
          <w:rFonts w:ascii="Arial" w:hAnsi="Arial" w:cs="Arial"/>
          <w:sz w:val="24"/>
          <w:szCs w:val="24"/>
        </w:rPr>
      </w:pPr>
      <w:r w:rsidRPr="00651A34">
        <w:rPr>
          <w:rFonts w:ascii="Arial" w:hAnsi="Arial" w:cs="Arial"/>
          <w:sz w:val="24"/>
          <w:szCs w:val="24"/>
        </w:rPr>
        <w:t xml:space="preserve">Critical care in pregnancy. ACOG Practice Bulletin No. 211. American College of Obstetricians and Gynecologists. </w:t>
      </w:r>
      <w:proofErr w:type="spellStart"/>
      <w:r w:rsidRPr="00651A34">
        <w:rPr>
          <w:rFonts w:ascii="Arial" w:hAnsi="Arial" w:cs="Arial"/>
          <w:sz w:val="24"/>
          <w:szCs w:val="24"/>
        </w:rPr>
        <w:t>Obstet</w:t>
      </w:r>
      <w:proofErr w:type="spellEnd"/>
      <w:r w:rsidRPr="00651A34">
        <w:rPr>
          <w:rFonts w:ascii="Arial" w:hAnsi="Arial" w:cs="Arial"/>
          <w:sz w:val="24"/>
          <w:szCs w:val="24"/>
        </w:rPr>
        <w:t xml:space="preserve"> </w:t>
      </w:r>
      <w:proofErr w:type="spellStart"/>
      <w:r w:rsidRPr="00651A34">
        <w:rPr>
          <w:rFonts w:ascii="Arial" w:hAnsi="Arial" w:cs="Arial"/>
          <w:sz w:val="24"/>
          <w:szCs w:val="24"/>
        </w:rPr>
        <w:t>Gynecol</w:t>
      </w:r>
      <w:proofErr w:type="spellEnd"/>
      <w:r w:rsidRPr="00651A34">
        <w:rPr>
          <w:rFonts w:ascii="Arial" w:hAnsi="Arial" w:cs="Arial"/>
          <w:sz w:val="24"/>
          <w:szCs w:val="24"/>
        </w:rPr>
        <w:t xml:space="preserve"> 2019;</w:t>
      </w:r>
      <w:proofErr w:type="gramStart"/>
      <w:r w:rsidRPr="00651A34">
        <w:rPr>
          <w:rFonts w:ascii="Arial" w:hAnsi="Arial" w:cs="Arial"/>
          <w:sz w:val="24"/>
          <w:szCs w:val="24"/>
        </w:rPr>
        <w:t>133:e</w:t>
      </w:r>
      <w:proofErr w:type="gramEnd"/>
      <w:r w:rsidRPr="00651A34">
        <w:rPr>
          <w:rFonts w:ascii="Arial" w:hAnsi="Arial" w:cs="Arial"/>
          <w:sz w:val="24"/>
          <w:szCs w:val="24"/>
        </w:rPr>
        <w:t>303–19.</w:t>
      </w:r>
    </w:p>
    <w:p w14:paraId="2E3E12B0" w14:textId="71C6813A" w:rsidR="00285C6A" w:rsidRPr="00651A34" w:rsidRDefault="00285C6A" w:rsidP="00651A34">
      <w:pPr>
        <w:pStyle w:val="ListParagraph"/>
        <w:numPr>
          <w:ilvl w:val="0"/>
          <w:numId w:val="8"/>
        </w:numPr>
        <w:rPr>
          <w:rFonts w:ascii="Arial" w:hAnsi="Arial" w:cs="Arial"/>
          <w:sz w:val="24"/>
          <w:szCs w:val="24"/>
        </w:rPr>
      </w:pPr>
      <w:r w:rsidRPr="00651A34">
        <w:rPr>
          <w:rFonts w:ascii="Arial" w:hAnsi="Arial" w:cs="Arial"/>
          <w:sz w:val="24"/>
          <w:szCs w:val="24"/>
        </w:rPr>
        <w:t xml:space="preserve">Prevention of Rh D alloimmunization. Practice Bulletin No. 181. American College of Obstetricians and Gynecologists. </w:t>
      </w:r>
      <w:proofErr w:type="spellStart"/>
      <w:r w:rsidRPr="00651A34">
        <w:rPr>
          <w:rFonts w:ascii="Arial" w:hAnsi="Arial" w:cs="Arial"/>
          <w:sz w:val="24"/>
          <w:szCs w:val="24"/>
        </w:rPr>
        <w:t>Obstet</w:t>
      </w:r>
      <w:proofErr w:type="spellEnd"/>
      <w:r w:rsidRPr="00651A34">
        <w:rPr>
          <w:rFonts w:ascii="Arial" w:hAnsi="Arial" w:cs="Arial"/>
          <w:sz w:val="24"/>
          <w:szCs w:val="24"/>
        </w:rPr>
        <w:t xml:space="preserve"> </w:t>
      </w:r>
      <w:proofErr w:type="spellStart"/>
      <w:r w:rsidRPr="00651A34">
        <w:rPr>
          <w:rFonts w:ascii="Arial" w:hAnsi="Arial" w:cs="Arial"/>
          <w:sz w:val="24"/>
          <w:szCs w:val="24"/>
        </w:rPr>
        <w:t>Gynecol</w:t>
      </w:r>
      <w:proofErr w:type="spellEnd"/>
      <w:r w:rsidRPr="00651A34">
        <w:rPr>
          <w:rFonts w:ascii="Arial" w:hAnsi="Arial" w:cs="Arial"/>
          <w:sz w:val="24"/>
          <w:szCs w:val="24"/>
        </w:rPr>
        <w:t xml:space="preserve"> 2017;</w:t>
      </w:r>
      <w:proofErr w:type="gramStart"/>
      <w:r w:rsidRPr="00651A34">
        <w:rPr>
          <w:rFonts w:ascii="Arial" w:hAnsi="Arial" w:cs="Arial"/>
          <w:sz w:val="24"/>
          <w:szCs w:val="24"/>
        </w:rPr>
        <w:t>130:e</w:t>
      </w:r>
      <w:proofErr w:type="gramEnd"/>
      <w:r w:rsidRPr="00651A34">
        <w:rPr>
          <w:rFonts w:ascii="Arial" w:hAnsi="Arial" w:cs="Arial"/>
          <w:sz w:val="24"/>
          <w:szCs w:val="24"/>
        </w:rPr>
        <w:t>57–70.</w:t>
      </w:r>
    </w:p>
    <w:p w14:paraId="6758849B" w14:textId="646CDC72" w:rsidR="00285C6A" w:rsidRPr="00651A34" w:rsidRDefault="00285C6A" w:rsidP="00651A34">
      <w:pPr>
        <w:pStyle w:val="ListParagraph"/>
        <w:numPr>
          <w:ilvl w:val="0"/>
          <w:numId w:val="8"/>
        </w:numPr>
        <w:rPr>
          <w:rFonts w:ascii="Arial" w:hAnsi="Arial" w:cs="Arial"/>
          <w:sz w:val="24"/>
          <w:szCs w:val="24"/>
        </w:rPr>
      </w:pPr>
      <w:r w:rsidRPr="00651A34">
        <w:rPr>
          <w:rFonts w:ascii="Arial" w:hAnsi="Arial" w:cs="Arial"/>
          <w:sz w:val="24"/>
          <w:szCs w:val="24"/>
        </w:rPr>
        <w:t xml:space="preserve">Management of alloimmunization during pregnancy. ACOG Practice Bulletin No. 192. American College of Obstetricians and Gynecologists. </w:t>
      </w:r>
      <w:proofErr w:type="spellStart"/>
      <w:r w:rsidRPr="00651A34">
        <w:rPr>
          <w:rFonts w:ascii="Arial" w:hAnsi="Arial" w:cs="Arial"/>
          <w:sz w:val="24"/>
          <w:szCs w:val="24"/>
        </w:rPr>
        <w:t>Obstet</w:t>
      </w:r>
      <w:proofErr w:type="spellEnd"/>
      <w:r w:rsidRPr="00651A34">
        <w:rPr>
          <w:rFonts w:ascii="Arial" w:hAnsi="Arial" w:cs="Arial"/>
          <w:sz w:val="24"/>
          <w:szCs w:val="24"/>
        </w:rPr>
        <w:t xml:space="preserve"> </w:t>
      </w:r>
      <w:proofErr w:type="spellStart"/>
      <w:r w:rsidRPr="00651A34">
        <w:rPr>
          <w:rFonts w:ascii="Arial" w:hAnsi="Arial" w:cs="Arial"/>
          <w:sz w:val="24"/>
          <w:szCs w:val="24"/>
        </w:rPr>
        <w:t>Gynecol</w:t>
      </w:r>
      <w:proofErr w:type="spellEnd"/>
      <w:r w:rsidRPr="00651A34">
        <w:rPr>
          <w:rFonts w:ascii="Arial" w:hAnsi="Arial" w:cs="Arial"/>
          <w:sz w:val="24"/>
          <w:szCs w:val="24"/>
        </w:rPr>
        <w:t xml:space="preserve"> 2018;</w:t>
      </w:r>
      <w:proofErr w:type="gramStart"/>
      <w:r w:rsidRPr="00651A34">
        <w:rPr>
          <w:rFonts w:ascii="Arial" w:hAnsi="Arial" w:cs="Arial"/>
          <w:sz w:val="24"/>
          <w:szCs w:val="24"/>
        </w:rPr>
        <w:t>131:e</w:t>
      </w:r>
      <w:proofErr w:type="gramEnd"/>
      <w:r w:rsidRPr="00651A34">
        <w:rPr>
          <w:rFonts w:ascii="Arial" w:hAnsi="Arial" w:cs="Arial"/>
          <w:sz w:val="24"/>
          <w:szCs w:val="24"/>
        </w:rPr>
        <w:t>82–90.</w:t>
      </w:r>
    </w:p>
    <w:p w14:paraId="23392A24" w14:textId="2607603F" w:rsidR="00C11CCC" w:rsidRPr="00651A34" w:rsidRDefault="00C11CCC" w:rsidP="00651A34">
      <w:pPr>
        <w:pStyle w:val="ListParagraph"/>
        <w:numPr>
          <w:ilvl w:val="0"/>
          <w:numId w:val="8"/>
        </w:numPr>
        <w:rPr>
          <w:rFonts w:ascii="Arial" w:hAnsi="Arial" w:cs="Arial"/>
          <w:sz w:val="24"/>
          <w:szCs w:val="24"/>
        </w:rPr>
      </w:pPr>
      <w:r w:rsidRPr="00651A34">
        <w:rPr>
          <w:rFonts w:ascii="Arial" w:hAnsi="Arial" w:cs="Arial"/>
          <w:sz w:val="24"/>
          <w:szCs w:val="24"/>
        </w:rPr>
        <w:t>Greco, Patricia S. MD; Day, Lori J. MD; Pearlman, Mark D. MD. Guidance for Evaluation and Management of Blunt Abdominal Trauma in Pregnancy. Obstetrics &amp; Gynecology 134(6</w:t>
      </w:r>
      <w:proofErr w:type="gramStart"/>
      <w:r w:rsidRPr="00651A34">
        <w:rPr>
          <w:rFonts w:ascii="Arial" w:hAnsi="Arial" w:cs="Arial"/>
          <w:sz w:val="24"/>
          <w:szCs w:val="24"/>
        </w:rPr>
        <w:t>):p</w:t>
      </w:r>
      <w:proofErr w:type="gramEnd"/>
      <w:r w:rsidRPr="00651A34">
        <w:rPr>
          <w:rFonts w:ascii="Arial" w:hAnsi="Arial" w:cs="Arial"/>
          <w:sz w:val="24"/>
          <w:szCs w:val="24"/>
        </w:rPr>
        <w:t xml:space="preserve"> 1343-1357, December 2019</w:t>
      </w:r>
    </w:p>
    <w:p w14:paraId="04041167" w14:textId="439AC5FC" w:rsidR="00C11CCC" w:rsidRPr="00651A34" w:rsidRDefault="00C11CCC" w:rsidP="00651A34">
      <w:pPr>
        <w:pStyle w:val="ListParagraph"/>
        <w:numPr>
          <w:ilvl w:val="0"/>
          <w:numId w:val="8"/>
        </w:numPr>
        <w:rPr>
          <w:rFonts w:ascii="Arial" w:hAnsi="Arial" w:cs="Arial"/>
          <w:sz w:val="24"/>
          <w:szCs w:val="24"/>
        </w:rPr>
      </w:pPr>
      <w:r w:rsidRPr="00651A34">
        <w:rPr>
          <w:rFonts w:ascii="Arial" w:hAnsi="Arial" w:cs="Arial"/>
          <w:sz w:val="24"/>
          <w:szCs w:val="24"/>
        </w:rPr>
        <w:t xml:space="preserve">Clements TW, Van Gent JM, Menon N, Roberts A, Sherwood M, Osborn L, Hartwell B, Refuerzo J, Bai Y, Cotton BA. Use of Low-Titer O-Positive Whole Blood in </w:t>
      </w:r>
      <w:r w:rsidRPr="00651A34">
        <w:rPr>
          <w:rFonts w:ascii="Arial" w:hAnsi="Arial" w:cs="Arial"/>
          <w:sz w:val="24"/>
          <w:szCs w:val="24"/>
        </w:rPr>
        <w:lastRenderedPageBreak/>
        <w:t>Female Trauma Patients: A Literature Review, Qualitative Multidisciplinary Analysis of Risk/Benefit, and Guidelines for Its Use as a Universal Product in Hemorrhagic Shock. J Am Coll Surg. 2024 Mar 1;238(3):347-357.</w:t>
      </w:r>
    </w:p>
    <w:p w14:paraId="1E3DCBB5" w14:textId="09AB7367" w:rsidR="008D4B7D" w:rsidRPr="00651A34" w:rsidRDefault="00285C6A" w:rsidP="00651A34">
      <w:pPr>
        <w:pStyle w:val="ListParagraph"/>
        <w:numPr>
          <w:ilvl w:val="0"/>
          <w:numId w:val="8"/>
        </w:numPr>
        <w:rPr>
          <w:rFonts w:ascii="Arial" w:hAnsi="Arial" w:cs="Arial"/>
          <w:sz w:val="24"/>
          <w:szCs w:val="24"/>
        </w:rPr>
      </w:pPr>
      <w:proofErr w:type="spellStart"/>
      <w:r w:rsidRPr="00651A34">
        <w:rPr>
          <w:rFonts w:ascii="Arial" w:hAnsi="Arial" w:cs="Arial"/>
          <w:sz w:val="24"/>
          <w:szCs w:val="24"/>
        </w:rPr>
        <w:t>Alkateb</w:t>
      </w:r>
      <w:proofErr w:type="spellEnd"/>
      <w:r w:rsidRPr="00651A34">
        <w:rPr>
          <w:rFonts w:ascii="Arial" w:hAnsi="Arial" w:cs="Arial"/>
          <w:sz w:val="24"/>
          <w:szCs w:val="24"/>
        </w:rPr>
        <w:t xml:space="preserve"> R, Mazzolini K, Prajapati VP, Harrison C, Ireland KE, Jenkins D, Daniels J, </w:t>
      </w:r>
      <w:proofErr w:type="spellStart"/>
      <w:r w:rsidRPr="00651A34">
        <w:rPr>
          <w:rFonts w:ascii="Arial" w:hAnsi="Arial" w:cs="Arial"/>
          <w:sz w:val="24"/>
          <w:szCs w:val="24"/>
        </w:rPr>
        <w:t>Greebon</w:t>
      </w:r>
      <w:proofErr w:type="spellEnd"/>
      <w:r w:rsidRPr="00651A34">
        <w:rPr>
          <w:rFonts w:ascii="Arial" w:hAnsi="Arial" w:cs="Arial"/>
          <w:sz w:val="24"/>
          <w:szCs w:val="24"/>
        </w:rPr>
        <w:t xml:space="preserve"> L. How I do it: An institutional protocol for the management of </w:t>
      </w:r>
      <w:proofErr w:type="spellStart"/>
      <w:r w:rsidRPr="00651A34">
        <w:rPr>
          <w:rFonts w:ascii="Arial" w:hAnsi="Arial" w:cs="Arial"/>
          <w:sz w:val="24"/>
          <w:szCs w:val="24"/>
        </w:rPr>
        <w:t>RhD</w:t>
      </w:r>
      <w:proofErr w:type="spellEnd"/>
      <w:r w:rsidRPr="00651A34">
        <w:rPr>
          <w:rFonts w:ascii="Arial" w:hAnsi="Arial" w:cs="Arial"/>
          <w:sz w:val="24"/>
          <w:szCs w:val="24"/>
        </w:rPr>
        <w:t xml:space="preserve"> negative women who receive </w:t>
      </w:r>
      <w:proofErr w:type="spellStart"/>
      <w:r w:rsidRPr="00651A34">
        <w:rPr>
          <w:rFonts w:ascii="Arial" w:hAnsi="Arial" w:cs="Arial"/>
          <w:sz w:val="24"/>
          <w:szCs w:val="24"/>
        </w:rPr>
        <w:t>RhD</w:t>
      </w:r>
      <w:proofErr w:type="spellEnd"/>
      <w:r w:rsidRPr="00651A34">
        <w:rPr>
          <w:rFonts w:ascii="Arial" w:hAnsi="Arial" w:cs="Arial"/>
          <w:sz w:val="24"/>
          <w:szCs w:val="24"/>
        </w:rPr>
        <w:t xml:space="preserve"> positive blood. Transfusion. 2025 May:65 Suppl </w:t>
      </w:r>
      <w:proofErr w:type="gramStart"/>
      <w:r w:rsidRPr="00651A34">
        <w:rPr>
          <w:rFonts w:ascii="Arial" w:hAnsi="Arial" w:cs="Arial"/>
          <w:sz w:val="24"/>
          <w:szCs w:val="24"/>
        </w:rPr>
        <w:t>1:S</w:t>
      </w:r>
      <w:proofErr w:type="gramEnd"/>
      <w:r w:rsidRPr="00651A34">
        <w:rPr>
          <w:rFonts w:ascii="Arial" w:hAnsi="Arial" w:cs="Arial"/>
          <w:sz w:val="24"/>
          <w:szCs w:val="24"/>
        </w:rPr>
        <w:t>320-S327.</w:t>
      </w:r>
    </w:p>
    <w:p w14:paraId="5C642731" w14:textId="696ADB03" w:rsidR="0064534C" w:rsidRPr="00651A34" w:rsidRDefault="00B85D39" w:rsidP="00651A34">
      <w:pPr>
        <w:pStyle w:val="ListParagraph"/>
        <w:numPr>
          <w:ilvl w:val="0"/>
          <w:numId w:val="8"/>
        </w:numPr>
        <w:rPr>
          <w:rFonts w:ascii="Arial" w:hAnsi="Arial" w:cs="Arial"/>
          <w:sz w:val="24"/>
          <w:szCs w:val="24"/>
        </w:rPr>
      </w:pPr>
      <w:r w:rsidRPr="00651A34">
        <w:rPr>
          <w:rFonts w:ascii="Arial" w:hAnsi="Arial" w:cs="Arial"/>
          <w:sz w:val="24"/>
          <w:szCs w:val="24"/>
        </w:rPr>
        <w:t>Levy ML, Schaefer RM, Obyrne H, Krohmer JR, Bank EA, Holcomb JB. Prehospital blood transfusion coalition clinical practice guideline for civilian emergency medical services. Trauma Surg Acute Care Open. 2025 Jul 16;10(3</w:t>
      </w:r>
      <w:proofErr w:type="gramStart"/>
      <w:r w:rsidRPr="00651A34">
        <w:rPr>
          <w:rFonts w:ascii="Arial" w:hAnsi="Arial" w:cs="Arial"/>
          <w:sz w:val="24"/>
          <w:szCs w:val="24"/>
        </w:rPr>
        <w:t>):e</w:t>
      </w:r>
      <w:proofErr w:type="gramEnd"/>
      <w:r w:rsidRPr="00651A34">
        <w:rPr>
          <w:rFonts w:ascii="Arial" w:hAnsi="Arial" w:cs="Arial"/>
          <w:sz w:val="24"/>
          <w:szCs w:val="24"/>
        </w:rPr>
        <w:t>001931.</w:t>
      </w:r>
    </w:p>
    <w:p w14:paraId="4F4769AF" w14:textId="77777777" w:rsidR="004500EE" w:rsidRPr="004500EE" w:rsidRDefault="004500EE" w:rsidP="00651A34">
      <w:pPr>
        <w:pStyle w:val="ListParagraph"/>
        <w:spacing w:line="240" w:lineRule="auto"/>
        <w:ind w:right="720"/>
        <w:rPr>
          <w:rFonts w:ascii="Arial" w:hAnsi="Arial" w:cs="Arial"/>
          <w:sz w:val="24"/>
          <w:szCs w:val="24"/>
        </w:rPr>
      </w:pPr>
    </w:p>
    <w:sectPr w:rsidR="004500EE" w:rsidRPr="004500EE" w:rsidSect="007D1D3E">
      <w:head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B736" w14:textId="77777777" w:rsidR="00952CAB" w:rsidRDefault="00952CAB" w:rsidP="008D4B7D">
      <w:pPr>
        <w:spacing w:after="0" w:line="240" w:lineRule="auto"/>
      </w:pPr>
      <w:r>
        <w:separator/>
      </w:r>
    </w:p>
  </w:endnote>
  <w:endnote w:type="continuationSeparator" w:id="0">
    <w:p w14:paraId="59764CA9" w14:textId="77777777" w:rsidR="00952CAB" w:rsidRDefault="00952CAB" w:rsidP="008D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BB50" w14:textId="77777777" w:rsidR="00952CAB" w:rsidRDefault="00952CAB" w:rsidP="008D4B7D">
      <w:pPr>
        <w:spacing w:after="0" w:line="240" w:lineRule="auto"/>
      </w:pPr>
      <w:r>
        <w:separator/>
      </w:r>
    </w:p>
  </w:footnote>
  <w:footnote w:type="continuationSeparator" w:id="0">
    <w:p w14:paraId="4F9F527E" w14:textId="77777777" w:rsidR="00952CAB" w:rsidRDefault="00952CAB" w:rsidP="008D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7D3F" w14:textId="57BAE8F0" w:rsidR="00943B09" w:rsidRPr="00314899" w:rsidRDefault="00943B09" w:rsidP="00943B09">
    <w:pPr>
      <w:pStyle w:val="Header"/>
      <w:rPr>
        <w:i/>
        <w:iCs/>
        <w:color w:val="C00000"/>
      </w:rPr>
    </w:pPr>
    <w:r w:rsidRPr="00314899">
      <w:rPr>
        <w:i/>
        <w:iCs/>
        <w:color w:val="C00000"/>
      </w:rPr>
      <w:t>Document for Review v</w:t>
    </w:r>
    <w:r w:rsidR="008F1C33">
      <w:rPr>
        <w:i/>
        <w:iCs/>
        <w:color w:val="C00000"/>
      </w:rPr>
      <w:t>2</w:t>
    </w:r>
    <w:r w:rsidRPr="00314899">
      <w:rPr>
        <w:i/>
        <w:iCs/>
        <w:color w:val="C00000"/>
      </w:rPr>
      <w:t xml:space="preserve"> (2025.11.21)</w:t>
    </w:r>
  </w:p>
  <w:p w14:paraId="22538918" w14:textId="0006EED2" w:rsidR="007043A1" w:rsidRPr="00943B09" w:rsidRDefault="007043A1" w:rsidP="00062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175"/>
    <w:multiLevelType w:val="hybridMultilevel"/>
    <w:tmpl w:val="5C42C4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B0C2301"/>
    <w:multiLevelType w:val="hybridMultilevel"/>
    <w:tmpl w:val="730AD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00D5B"/>
    <w:multiLevelType w:val="hybridMultilevel"/>
    <w:tmpl w:val="C5528D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2127DC1"/>
    <w:multiLevelType w:val="hybridMultilevel"/>
    <w:tmpl w:val="50AE9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091762"/>
    <w:multiLevelType w:val="hybridMultilevel"/>
    <w:tmpl w:val="C5528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CC6C9C"/>
    <w:multiLevelType w:val="hybridMultilevel"/>
    <w:tmpl w:val="CC9AB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210128"/>
    <w:multiLevelType w:val="hybridMultilevel"/>
    <w:tmpl w:val="0FBE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B042D"/>
    <w:multiLevelType w:val="hybridMultilevel"/>
    <w:tmpl w:val="254C2D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21068"/>
    <w:multiLevelType w:val="hybridMultilevel"/>
    <w:tmpl w:val="2A265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440567">
    <w:abstractNumId w:val="3"/>
  </w:num>
  <w:num w:numId="2" w16cid:durableId="1676956721">
    <w:abstractNumId w:val="0"/>
  </w:num>
  <w:num w:numId="3" w16cid:durableId="690841171">
    <w:abstractNumId w:val="6"/>
  </w:num>
  <w:num w:numId="4" w16cid:durableId="964889360">
    <w:abstractNumId w:val="7"/>
  </w:num>
  <w:num w:numId="5" w16cid:durableId="528761518">
    <w:abstractNumId w:val="4"/>
  </w:num>
  <w:num w:numId="6" w16cid:durableId="32465436">
    <w:abstractNumId w:val="1"/>
  </w:num>
  <w:num w:numId="7" w16cid:durableId="519592181">
    <w:abstractNumId w:val="8"/>
  </w:num>
  <w:num w:numId="8" w16cid:durableId="458689643">
    <w:abstractNumId w:val="2"/>
  </w:num>
  <w:num w:numId="9" w16cid:durableId="1433742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7D"/>
    <w:rsid w:val="000321C3"/>
    <w:rsid w:val="00036BF2"/>
    <w:rsid w:val="0006212A"/>
    <w:rsid w:val="00063BCB"/>
    <w:rsid w:val="000961F7"/>
    <w:rsid w:val="00100ACA"/>
    <w:rsid w:val="00140CB1"/>
    <w:rsid w:val="001D0BF3"/>
    <w:rsid w:val="001D6B70"/>
    <w:rsid w:val="001F6268"/>
    <w:rsid w:val="00217946"/>
    <w:rsid w:val="00285C6A"/>
    <w:rsid w:val="00387B2A"/>
    <w:rsid w:val="003A62B7"/>
    <w:rsid w:val="004500EE"/>
    <w:rsid w:val="004756A3"/>
    <w:rsid w:val="004A7DC5"/>
    <w:rsid w:val="004B68CB"/>
    <w:rsid w:val="004F45D9"/>
    <w:rsid w:val="00583316"/>
    <w:rsid w:val="005A1C22"/>
    <w:rsid w:val="005F0AB8"/>
    <w:rsid w:val="00621FF8"/>
    <w:rsid w:val="00633743"/>
    <w:rsid w:val="0064534C"/>
    <w:rsid w:val="00651A34"/>
    <w:rsid w:val="006969CE"/>
    <w:rsid w:val="006A2CBD"/>
    <w:rsid w:val="006D35DC"/>
    <w:rsid w:val="007043A1"/>
    <w:rsid w:val="007653F0"/>
    <w:rsid w:val="007B7510"/>
    <w:rsid w:val="007D1D3E"/>
    <w:rsid w:val="007F298A"/>
    <w:rsid w:val="008112AA"/>
    <w:rsid w:val="00875A47"/>
    <w:rsid w:val="00877BDD"/>
    <w:rsid w:val="00877D9A"/>
    <w:rsid w:val="008B033C"/>
    <w:rsid w:val="008D4B7D"/>
    <w:rsid w:val="008F1C33"/>
    <w:rsid w:val="00943B09"/>
    <w:rsid w:val="00952CAB"/>
    <w:rsid w:val="00A04CC2"/>
    <w:rsid w:val="00A14984"/>
    <w:rsid w:val="00A36A1B"/>
    <w:rsid w:val="00A5652C"/>
    <w:rsid w:val="00A87268"/>
    <w:rsid w:val="00B85D39"/>
    <w:rsid w:val="00BA6197"/>
    <w:rsid w:val="00BE2873"/>
    <w:rsid w:val="00C11CCC"/>
    <w:rsid w:val="00C37F5D"/>
    <w:rsid w:val="00C528FE"/>
    <w:rsid w:val="00C5702A"/>
    <w:rsid w:val="00C808D4"/>
    <w:rsid w:val="00C86004"/>
    <w:rsid w:val="00CB130F"/>
    <w:rsid w:val="00CF5629"/>
    <w:rsid w:val="00D01A31"/>
    <w:rsid w:val="00D16BD3"/>
    <w:rsid w:val="00D2491D"/>
    <w:rsid w:val="00D3714C"/>
    <w:rsid w:val="00D53725"/>
    <w:rsid w:val="00DB6A88"/>
    <w:rsid w:val="00DC3FF6"/>
    <w:rsid w:val="00DD638B"/>
    <w:rsid w:val="00DE4E4B"/>
    <w:rsid w:val="00E31393"/>
    <w:rsid w:val="00E31A24"/>
    <w:rsid w:val="00E84D08"/>
    <w:rsid w:val="00F02034"/>
    <w:rsid w:val="00F433C2"/>
    <w:rsid w:val="00FB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871D"/>
  <w15:chartTrackingRefBased/>
  <w15:docId w15:val="{516E0C02-ABB6-4F57-B1AB-FC483752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7D"/>
  </w:style>
  <w:style w:type="paragraph" w:styleId="Footer">
    <w:name w:val="footer"/>
    <w:basedOn w:val="Normal"/>
    <w:link w:val="FooterChar"/>
    <w:uiPriority w:val="99"/>
    <w:unhideWhenUsed/>
    <w:rsid w:val="008D4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7D"/>
  </w:style>
  <w:style w:type="paragraph" w:styleId="ListParagraph">
    <w:name w:val="List Paragraph"/>
    <w:basedOn w:val="Normal"/>
    <w:uiPriority w:val="34"/>
    <w:qFormat/>
    <w:rsid w:val="007653F0"/>
    <w:pPr>
      <w:ind w:left="720"/>
      <w:contextualSpacing/>
    </w:pPr>
  </w:style>
  <w:style w:type="character" w:styleId="Hyperlink">
    <w:name w:val="Hyperlink"/>
    <w:basedOn w:val="DefaultParagraphFont"/>
    <w:uiPriority w:val="99"/>
    <w:unhideWhenUsed/>
    <w:rsid w:val="0064534C"/>
    <w:rPr>
      <w:color w:val="0563C1" w:themeColor="hyperlink"/>
      <w:u w:val="single"/>
    </w:rPr>
  </w:style>
  <w:style w:type="character" w:styleId="UnresolvedMention">
    <w:name w:val="Unresolved Mention"/>
    <w:basedOn w:val="DefaultParagraphFont"/>
    <w:uiPriority w:val="99"/>
    <w:semiHidden/>
    <w:unhideWhenUsed/>
    <w:rsid w:val="0064534C"/>
    <w:rPr>
      <w:color w:val="605E5C"/>
      <w:shd w:val="clear" w:color="auto" w:fill="E1DFDD"/>
    </w:rPr>
  </w:style>
  <w:style w:type="character" w:styleId="LineNumber">
    <w:name w:val="line number"/>
    <w:basedOn w:val="DefaultParagraphFont"/>
    <w:uiPriority w:val="99"/>
    <w:semiHidden/>
    <w:unhideWhenUsed/>
    <w:rsid w:val="007D1D3E"/>
  </w:style>
  <w:style w:type="paragraph" w:styleId="Revision">
    <w:name w:val="Revision"/>
    <w:hidden/>
    <w:uiPriority w:val="99"/>
    <w:semiHidden/>
    <w:rsid w:val="00BE2873"/>
    <w:pPr>
      <w:spacing w:after="0" w:line="240" w:lineRule="auto"/>
    </w:pPr>
  </w:style>
  <w:style w:type="character" w:styleId="CommentReference">
    <w:name w:val="annotation reference"/>
    <w:basedOn w:val="DefaultParagraphFont"/>
    <w:uiPriority w:val="99"/>
    <w:semiHidden/>
    <w:unhideWhenUsed/>
    <w:rsid w:val="00A5652C"/>
    <w:rPr>
      <w:sz w:val="16"/>
      <w:szCs w:val="16"/>
    </w:rPr>
  </w:style>
  <w:style w:type="paragraph" w:styleId="CommentText">
    <w:name w:val="annotation text"/>
    <w:basedOn w:val="Normal"/>
    <w:link w:val="CommentTextChar"/>
    <w:uiPriority w:val="99"/>
    <w:semiHidden/>
    <w:unhideWhenUsed/>
    <w:rsid w:val="00A5652C"/>
    <w:pPr>
      <w:spacing w:line="240" w:lineRule="auto"/>
    </w:pPr>
    <w:rPr>
      <w:sz w:val="20"/>
      <w:szCs w:val="20"/>
    </w:rPr>
  </w:style>
  <w:style w:type="character" w:customStyle="1" w:styleId="CommentTextChar">
    <w:name w:val="Comment Text Char"/>
    <w:basedOn w:val="DefaultParagraphFont"/>
    <w:link w:val="CommentText"/>
    <w:uiPriority w:val="99"/>
    <w:semiHidden/>
    <w:rsid w:val="00A5652C"/>
    <w:rPr>
      <w:sz w:val="20"/>
      <w:szCs w:val="20"/>
    </w:rPr>
  </w:style>
  <w:style w:type="paragraph" w:styleId="CommentSubject">
    <w:name w:val="annotation subject"/>
    <w:basedOn w:val="CommentText"/>
    <w:next w:val="CommentText"/>
    <w:link w:val="CommentSubjectChar"/>
    <w:uiPriority w:val="99"/>
    <w:semiHidden/>
    <w:unhideWhenUsed/>
    <w:rsid w:val="00A5652C"/>
    <w:rPr>
      <w:b/>
      <w:bCs/>
    </w:rPr>
  </w:style>
  <w:style w:type="character" w:customStyle="1" w:styleId="CommentSubjectChar">
    <w:name w:val="Comment Subject Char"/>
    <w:basedOn w:val="CommentTextChar"/>
    <w:link w:val="CommentSubject"/>
    <w:uiPriority w:val="99"/>
    <w:semiHidden/>
    <w:rsid w:val="00A565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ohopefound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D37A-757C-744C-9C7C-EADB5514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Nelson</dc:creator>
  <cp:keywords/>
  <dc:description/>
  <cp:lastModifiedBy>Emily Epley</cp:lastModifiedBy>
  <cp:revision>35</cp:revision>
  <dcterms:created xsi:type="dcterms:W3CDTF">2025-11-15T19:40:00Z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9ce242-bd69-4ace-81be-21f3d34931dc_Enabled">
    <vt:lpwstr>true</vt:lpwstr>
  </property>
  <property fmtid="{D5CDD505-2E9C-101B-9397-08002B2CF9AE}" pid="3" name="MSIP_Label_829ce242-bd69-4ace-81be-21f3d34931dc_SetDate">
    <vt:lpwstr>2025-11-15T19:40:43Z</vt:lpwstr>
  </property>
  <property fmtid="{D5CDD505-2E9C-101B-9397-08002B2CF9AE}" pid="4" name="MSIP_Label_829ce242-bd69-4ace-81be-21f3d34931dc_Method">
    <vt:lpwstr>Standard</vt:lpwstr>
  </property>
  <property fmtid="{D5CDD505-2E9C-101B-9397-08002B2CF9AE}" pid="5" name="MSIP_Label_829ce242-bd69-4ace-81be-21f3d34931dc_Name">
    <vt:lpwstr>defa4170-0d19-0005-0004-bc88714345d2</vt:lpwstr>
  </property>
  <property fmtid="{D5CDD505-2E9C-101B-9397-08002B2CF9AE}" pid="6" name="MSIP_Label_829ce242-bd69-4ace-81be-21f3d34931dc_SiteId">
    <vt:lpwstr>110c9cc6-4d84-4558-81a1-76310935a2e7</vt:lpwstr>
  </property>
  <property fmtid="{D5CDD505-2E9C-101B-9397-08002B2CF9AE}" pid="7" name="MSIP_Label_829ce242-bd69-4ace-81be-21f3d34931dc_ActionId">
    <vt:lpwstr>cefa264b-01a3-41ff-a23e-d997b7362e74</vt:lpwstr>
  </property>
  <property fmtid="{D5CDD505-2E9C-101B-9397-08002B2CF9AE}" pid="8" name="MSIP_Label_829ce242-bd69-4ace-81be-21f3d34931dc_ContentBits">
    <vt:lpwstr>0</vt:lpwstr>
  </property>
  <property fmtid="{D5CDD505-2E9C-101B-9397-08002B2CF9AE}" pid="9" name="MSIP_Label_829ce242-bd69-4ace-81be-21f3d34931dc_Tag">
    <vt:lpwstr>50, 3, 0, 1</vt:lpwstr>
  </property>
</Properties>
</file>