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B6EE" w14:textId="77777777" w:rsidR="00F769DC" w:rsidRDefault="00F769DC" w:rsidP="00DB2592">
      <w:pPr>
        <w:spacing w:line="240" w:lineRule="auto"/>
        <w:contextualSpacing/>
        <w:jc w:val="center"/>
        <w:rPr>
          <w:rFonts w:cs="Calibri"/>
          <w:b/>
          <w:bCs/>
          <w:sz w:val="28"/>
          <w:szCs w:val="28"/>
          <w:u w:val="single"/>
        </w:rPr>
      </w:pPr>
      <w:r>
        <w:rPr>
          <w:rFonts w:cs="Calibri"/>
          <w:b/>
          <w:bCs/>
          <w:sz w:val="28"/>
          <w:szCs w:val="28"/>
          <w:u w:val="single"/>
        </w:rPr>
        <w:t>Governor’s EMS Trauma Advisory Council Prehospital Whole Blood Task Force</w:t>
      </w:r>
    </w:p>
    <w:p w14:paraId="5C973E08" w14:textId="77777777" w:rsidR="00F769DC" w:rsidRDefault="00F769DC" w:rsidP="00DB2592">
      <w:pPr>
        <w:spacing w:line="240" w:lineRule="auto"/>
        <w:contextualSpacing/>
        <w:jc w:val="center"/>
        <w:rPr>
          <w:rFonts w:cs="Calibri"/>
          <w:b/>
          <w:bCs/>
          <w:sz w:val="28"/>
          <w:szCs w:val="28"/>
          <w:u w:val="single"/>
        </w:rPr>
      </w:pPr>
    </w:p>
    <w:p w14:paraId="5514C8F3" w14:textId="5F91347D" w:rsidR="00DB2592" w:rsidRPr="006B37A1" w:rsidRDefault="00DB2592" w:rsidP="00DB2592">
      <w:pPr>
        <w:spacing w:line="240" w:lineRule="auto"/>
        <w:contextualSpacing/>
        <w:jc w:val="center"/>
        <w:rPr>
          <w:rFonts w:cs="Calibri"/>
          <w:b/>
          <w:bCs/>
          <w:sz w:val="28"/>
          <w:szCs w:val="28"/>
          <w:u w:val="single"/>
        </w:rPr>
      </w:pPr>
      <w:r w:rsidRPr="006B37A1">
        <w:rPr>
          <w:rFonts w:cs="Calibri"/>
          <w:b/>
          <w:bCs/>
          <w:sz w:val="28"/>
          <w:szCs w:val="28"/>
          <w:u w:val="single"/>
        </w:rPr>
        <w:t xml:space="preserve">Recommendations for </w:t>
      </w:r>
      <w:r w:rsidR="00E753D2" w:rsidRPr="006B37A1">
        <w:rPr>
          <w:rFonts w:cs="Calibri"/>
          <w:b/>
          <w:bCs/>
          <w:sz w:val="28"/>
          <w:szCs w:val="28"/>
          <w:u w:val="single"/>
        </w:rPr>
        <w:t>Prehospital Whole Blood Transfusion</w:t>
      </w:r>
      <w:r w:rsidRPr="006B37A1">
        <w:rPr>
          <w:rFonts w:cs="Calibri"/>
          <w:b/>
          <w:bCs/>
          <w:sz w:val="28"/>
          <w:szCs w:val="28"/>
          <w:u w:val="single"/>
        </w:rPr>
        <w:t xml:space="preserve"> Criteria</w:t>
      </w:r>
    </w:p>
    <w:p w14:paraId="619BBDAA" w14:textId="77777777" w:rsidR="00DB2592" w:rsidRPr="00A01710" w:rsidRDefault="00DB2592" w:rsidP="00DB2592">
      <w:pPr>
        <w:spacing w:line="240" w:lineRule="auto"/>
        <w:contextualSpacing/>
        <w:jc w:val="center"/>
        <w:rPr>
          <w:rFonts w:cs="Calibri"/>
          <w:b/>
          <w:bCs/>
          <w:sz w:val="24"/>
          <w:szCs w:val="24"/>
          <w:u w:val="single"/>
        </w:rPr>
      </w:pPr>
    </w:p>
    <w:p w14:paraId="4AC4B926" w14:textId="77777777" w:rsidR="00DB2592" w:rsidRPr="00A01710" w:rsidRDefault="00DB2592" w:rsidP="00DB2592">
      <w:pPr>
        <w:spacing w:line="240" w:lineRule="auto"/>
        <w:contextualSpacing/>
        <w:rPr>
          <w:rFonts w:cs="Calibri"/>
          <w:b/>
          <w:bCs/>
          <w:sz w:val="24"/>
          <w:szCs w:val="24"/>
          <w:u w:val="single"/>
        </w:rPr>
      </w:pPr>
    </w:p>
    <w:p w14:paraId="415DAE31" w14:textId="77777777" w:rsidR="00DB2592" w:rsidRPr="00A01710" w:rsidRDefault="00DB2592" w:rsidP="00DB2592">
      <w:pPr>
        <w:spacing w:line="240" w:lineRule="auto"/>
        <w:contextualSpacing/>
        <w:rPr>
          <w:rFonts w:cs="Calibri"/>
          <w:b/>
          <w:bCs/>
          <w:sz w:val="24"/>
          <w:szCs w:val="24"/>
          <w:u w:val="single"/>
        </w:rPr>
      </w:pPr>
    </w:p>
    <w:p w14:paraId="4A245B39" w14:textId="18785AE7" w:rsidR="00DB2592" w:rsidRPr="00A01710" w:rsidRDefault="00DB2592" w:rsidP="00DB2592">
      <w:pPr>
        <w:spacing w:line="240" w:lineRule="auto"/>
        <w:contextualSpacing/>
        <w:rPr>
          <w:rFonts w:cs="Calibri"/>
          <w:sz w:val="24"/>
          <w:szCs w:val="24"/>
        </w:rPr>
      </w:pPr>
      <w:r w:rsidRPr="00A01710">
        <w:rPr>
          <w:rFonts w:cs="Calibri"/>
          <w:b/>
          <w:bCs/>
          <w:sz w:val="24"/>
          <w:szCs w:val="24"/>
          <w:u w:val="single"/>
        </w:rPr>
        <w:t>Purpose</w:t>
      </w:r>
      <w:r w:rsidRPr="00A01710">
        <w:rPr>
          <w:rFonts w:cs="Calibri"/>
          <w:b/>
          <w:bCs/>
          <w:sz w:val="24"/>
          <w:szCs w:val="24"/>
        </w:rPr>
        <w:t xml:space="preserve">:  </w:t>
      </w:r>
      <w:r w:rsidRPr="00A01710">
        <w:rPr>
          <w:rFonts w:cs="Calibri"/>
          <w:sz w:val="24"/>
          <w:szCs w:val="24"/>
        </w:rPr>
        <w:t>To provide guidance on the use of Low Titer Group O + Whole Blood in the resuscitation of traumatic and medical hemorrhagic shock patients.</w:t>
      </w:r>
    </w:p>
    <w:p w14:paraId="61FD14DA" w14:textId="77777777" w:rsidR="00DB2592" w:rsidRPr="00A01710" w:rsidRDefault="00DB2592" w:rsidP="00DB2592">
      <w:pPr>
        <w:spacing w:line="240" w:lineRule="auto"/>
        <w:contextualSpacing/>
        <w:rPr>
          <w:rFonts w:cs="Calibri"/>
          <w:sz w:val="24"/>
          <w:szCs w:val="24"/>
        </w:rPr>
      </w:pPr>
    </w:p>
    <w:p w14:paraId="4B2F7D8D" w14:textId="77777777" w:rsidR="0072793D" w:rsidRPr="00A01710" w:rsidRDefault="0072793D" w:rsidP="00DB2592">
      <w:pPr>
        <w:spacing w:line="240" w:lineRule="auto"/>
        <w:contextualSpacing/>
        <w:rPr>
          <w:rFonts w:cs="Calibri"/>
          <w:b/>
          <w:bCs/>
          <w:sz w:val="24"/>
          <w:szCs w:val="24"/>
          <w:u w:val="single"/>
        </w:rPr>
      </w:pPr>
    </w:p>
    <w:p w14:paraId="1A580155" w14:textId="77F058D2" w:rsidR="00DB2592" w:rsidRPr="00A01710" w:rsidRDefault="00DB2592" w:rsidP="00DB2592">
      <w:pPr>
        <w:spacing w:line="240" w:lineRule="auto"/>
        <w:contextualSpacing/>
        <w:rPr>
          <w:rFonts w:cs="Calibri"/>
          <w:b/>
          <w:bCs/>
          <w:sz w:val="24"/>
          <w:szCs w:val="24"/>
          <w:u w:val="single"/>
        </w:rPr>
      </w:pPr>
      <w:r w:rsidRPr="00A01710">
        <w:rPr>
          <w:rFonts w:cs="Calibri"/>
          <w:b/>
          <w:bCs/>
          <w:sz w:val="24"/>
          <w:szCs w:val="24"/>
          <w:u w:val="single"/>
        </w:rPr>
        <w:t>Best Practice</w:t>
      </w:r>
    </w:p>
    <w:p w14:paraId="3B4288D5" w14:textId="77777777" w:rsidR="00DB2592" w:rsidRPr="00A01710" w:rsidRDefault="00DB2592" w:rsidP="00DB2592">
      <w:pPr>
        <w:spacing w:line="240" w:lineRule="auto"/>
        <w:contextualSpacing/>
        <w:rPr>
          <w:rFonts w:cs="Calibri"/>
          <w:b/>
          <w:bCs/>
          <w:sz w:val="24"/>
          <w:szCs w:val="24"/>
          <w:u w:val="single"/>
        </w:rPr>
      </w:pPr>
    </w:p>
    <w:p w14:paraId="68B77223" w14:textId="245BE4B0" w:rsidR="00031794" w:rsidRPr="00031794" w:rsidRDefault="00DB2592" w:rsidP="00031794">
      <w:pPr>
        <w:pStyle w:val="ListParagraph"/>
        <w:numPr>
          <w:ilvl w:val="0"/>
          <w:numId w:val="11"/>
        </w:numPr>
        <w:spacing w:line="240" w:lineRule="auto"/>
        <w:rPr>
          <w:rFonts w:cs="Calibri"/>
          <w:b/>
          <w:bCs/>
          <w:u w:val="single"/>
        </w:rPr>
      </w:pPr>
      <w:r w:rsidRPr="00031794">
        <w:rPr>
          <w:rFonts w:cs="Calibri"/>
        </w:rPr>
        <w:t xml:space="preserve">The following are examples of guidelines that are evidence-based in the hospital setting.  The following examples are not meant to be exhaustive or required.  They </w:t>
      </w:r>
      <w:r w:rsidR="008871F7" w:rsidRPr="00031794">
        <w:rPr>
          <w:rFonts w:cs="Calibri"/>
        </w:rPr>
        <w:t>intend</w:t>
      </w:r>
      <w:r w:rsidRPr="00031794">
        <w:rPr>
          <w:rFonts w:cs="Calibri"/>
        </w:rPr>
        <w:t xml:space="preserve"> to provide a foundation for each EMS system and EMS Medical Director to determine the practice that applies to their agency.  As the practice of prehospital transfusions is new</w:t>
      </w:r>
      <w:r w:rsidR="008929F5">
        <w:rPr>
          <w:rFonts w:cs="Calibri"/>
        </w:rPr>
        <w:t>,</w:t>
      </w:r>
      <w:r w:rsidRPr="00031794">
        <w:rPr>
          <w:rFonts w:cs="Calibri"/>
        </w:rPr>
        <w:t xml:space="preserve"> many of the guidelines/protocols have been borrowed from the hospital setting and applied, as best possible, to the prehospital setting.</w:t>
      </w:r>
    </w:p>
    <w:p w14:paraId="61AE349C" w14:textId="77777777" w:rsidR="00031794" w:rsidRPr="00031794" w:rsidRDefault="00031794" w:rsidP="00031794">
      <w:pPr>
        <w:pStyle w:val="ListParagraph"/>
        <w:spacing w:line="240" w:lineRule="auto"/>
        <w:rPr>
          <w:rFonts w:cs="Calibri"/>
          <w:b/>
          <w:bCs/>
          <w:u w:val="single"/>
        </w:rPr>
      </w:pPr>
    </w:p>
    <w:p w14:paraId="028471AB" w14:textId="77777777" w:rsidR="00031794" w:rsidRPr="00031794" w:rsidRDefault="00DB2592" w:rsidP="00031794">
      <w:pPr>
        <w:pStyle w:val="ListParagraph"/>
        <w:numPr>
          <w:ilvl w:val="0"/>
          <w:numId w:val="11"/>
        </w:numPr>
        <w:spacing w:line="240" w:lineRule="auto"/>
        <w:rPr>
          <w:rFonts w:cs="Calibri"/>
          <w:b/>
          <w:bCs/>
          <w:u w:val="single"/>
        </w:rPr>
      </w:pPr>
      <w:r w:rsidRPr="00031794">
        <w:rPr>
          <w:rFonts w:cs="Calibri"/>
        </w:rPr>
        <w:t>The critical take</w:t>
      </w:r>
      <w:r w:rsidR="00DE78DD" w:rsidRPr="00031794">
        <w:rPr>
          <w:rFonts w:cs="Calibri"/>
        </w:rPr>
        <w:t xml:space="preserve"> </w:t>
      </w:r>
      <w:r w:rsidRPr="00031794">
        <w:rPr>
          <w:rFonts w:cs="Calibri"/>
        </w:rPr>
        <w:t xml:space="preserve">away from this document is that </w:t>
      </w:r>
      <w:r w:rsidR="0072793D" w:rsidRPr="00031794">
        <w:rPr>
          <w:rFonts w:cs="Calibri"/>
        </w:rPr>
        <w:t>the EMS Medical Director and the EMS Agency must follow each prehospital transfusion patient closely.  This includes internal tracking metrics to include patient outcomes and adherence to each agency’s individual protocols and guidelines</w:t>
      </w:r>
      <w:r w:rsidR="00987281" w:rsidRPr="00031794">
        <w:rPr>
          <w:rFonts w:cs="Calibri"/>
        </w:rPr>
        <w:t xml:space="preserve">.  </w:t>
      </w:r>
    </w:p>
    <w:p w14:paraId="7387D92A" w14:textId="77777777" w:rsidR="00031794" w:rsidRPr="00031794" w:rsidRDefault="00031794" w:rsidP="00031794">
      <w:pPr>
        <w:pStyle w:val="ListParagraph"/>
        <w:rPr>
          <w:rFonts w:cs="Calibri"/>
        </w:rPr>
      </w:pPr>
    </w:p>
    <w:p w14:paraId="2AAFC9B9" w14:textId="77777777" w:rsidR="00031794" w:rsidRPr="00031794" w:rsidRDefault="0072793D" w:rsidP="00031794">
      <w:pPr>
        <w:pStyle w:val="ListParagraph"/>
        <w:numPr>
          <w:ilvl w:val="0"/>
          <w:numId w:val="11"/>
        </w:numPr>
        <w:spacing w:line="240" w:lineRule="auto"/>
        <w:rPr>
          <w:rFonts w:cs="Calibri"/>
          <w:b/>
          <w:bCs/>
          <w:u w:val="single"/>
        </w:rPr>
      </w:pPr>
      <w:r w:rsidRPr="00031794">
        <w:rPr>
          <w:rFonts w:cs="Calibri"/>
        </w:rPr>
        <w:t>Each agency</w:t>
      </w:r>
      <w:r w:rsidR="007059A3" w:rsidRPr="00031794">
        <w:rPr>
          <w:rFonts w:cs="Calibri"/>
        </w:rPr>
        <w:t>’s</w:t>
      </w:r>
      <w:r w:rsidRPr="00031794">
        <w:rPr>
          <w:rFonts w:cs="Calibri"/>
        </w:rPr>
        <w:t xml:space="preserve"> medical director always has the authority to implement transfusion guidelines/protocols to treat patients as outlined in Texas Statute 773, Texas Medical Board 169, and Department of State Health Services 157.</w:t>
      </w:r>
      <w:r w:rsidR="00874629" w:rsidRPr="00031794">
        <w:rPr>
          <w:rFonts w:cs="Calibri"/>
        </w:rPr>
        <w:t xml:space="preserve">  This document is only intended to </w:t>
      </w:r>
      <w:r w:rsidR="00917FFC" w:rsidRPr="00031794">
        <w:rPr>
          <w:rFonts w:cs="Calibri"/>
        </w:rPr>
        <w:t>inform</w:t>
      </w:r>
      <w:r w:rsidR="00874629" w:rsidRPr="00031794">
        <w:rPr>
          <w:rFonts w:cs="Calibri"/>
        </w:rPr>
        <w:t xml:space="preserve"> the EMS Medical Director’s clinical practice.  The document does not </w:t>
      </w:r>
      <w:r w:rsidR="00BF7D77" w:rsidRPr="00031794">
        <w:rPr>
          <w:rFonts w:cs="Calibri"/>
        </w:rPr>
        <w:t xml:space="preserve">replace </w:t>
      </w:r>
      <w:r w:rsidR="00874629" w:rsidRPr="00031794">
        <w:rPr>
          <w:rFonts w:cs="Calibri"/>
        </w:rPr>
        <w:t>any privileges granted to the EMS Medical Director by the State of Texas.</w:t>
      </w:r>
    </w:p>
    <w:p w14:paraId="45BE9D9F" w14:textId="77777777" w:rsidR="00031794" w:rsidRPr="00031794" w:rsidRDefault="00031794" w:rsidP="00031794">
      <w:pPr>
        <w:pStyle w:val="ListParagraph"/>
        <w:rPr>
          <w:rFonts w:cs="Calibri"/>
        </w:rPr>
      </w:pPr>
    </w:p>
    <w:p w14:paraId="175923DB" w14:textId="5DF39165" w:rsidR="0072793D" w:rsidRPr="00031794" w:rsidRDefault="00987281" w:rsidP="00031794">
      <w:pPr>
        <w:pStyle w:val="ListParagraph"/>
        <w:numPr>
          <w:ilvl w:val="0"/>
          <w:numId w:val="11"/>
        </w:numPr>
        <w:spacing w:line="240" w:lineRule="auto"/>
        <w:rPr>
          <w:rFonts w:cs="Calibri"/>
          <w:b/>
          <w:bCs/>
          <w:u w:val="single"/>
        </w:rPr>
      </w:pPr>
      <w:r w:rsidRPr="00031794">
        <w:rPr>
          <w:rFonts w:cs="Calibri"/>
        </w:rPr>
        <w:t xml:space="preserve">Following AABB prehospital standards </w:t>
      </w:r>
      <w:r w:rsidR="007059A3" w:rsidRPr="00031794">
        <w:rPr>
          <w:rFonts w:cs="Calibri"/>
        </w:rPr>
        <w:t>is</w:t>
      </w:r>
      <w:r w:rsidRPr="00031794">
        <w:rPr>
          <w:rFonts w:cs="Calibri"/>
        </w:rPr>
        <w:t xml:space="preserve"> considered best practice</w:t>
      </w:r>
      <w:r w:rsidR="007059A3" w:rsidRPr="00031794">
        <w:rPr>
          <w:rFonts w:cs="Calibri"/>
        </w:rPr>
        <w:t>,</w:t>
      </w:r>
      <w:r w:rsidRPr="00031794">
        <w:rPr>
          <w:rFonts w:cs="Calibri"/>
        </w:rPr>
        <w:t xml:space="preserve"> unless any AABB recommendations or practices contradict </w:t>
      </w:r>
      <w:r w:rsidR="007059A3" w:rsidRPr="00031794">
        <w:rPr>
          <w:rFonts w:cs="Calibri"/>
        </w:rPr>
        <w:t>s</w:t>
      </w:r>
      <w:r w:rsidRPr="00031794">
        <w:rPr>
          <w:rFonts w:cs="Calibri"/>
        </w:rPr>
        <w:t>tate statute</w:t>
      </w:r>
      <w:r w:rsidR="007059A3" w:rsidRPr="00031794">
        <w:rPr>
          <w:rFonts w:cs="Calibri"/>
        </w:rPr>
        <w:t>s</w:t>
      </w:r>
      <w:r w:rsidRPr="00031794">
        <w:rPr>
          <w:rFonts w:cs="Calibri"/>
        </w:rPr>
        <w:t xml:space="preserve"> or local laws.  National agencies such as NASEMSO</w:t>
      </w:r>
      <w:r w:rsidR="004C6C38">
        <w:rPr>
          <w:rFonts w:cs="Calibri"/>
        </w:rPr>
        <w:t xml:space="preserve">, </w:t>
      </w:r>
      <w:r w:rsidRPr="00031794">
        <w:rPr>
          <w:rFonts w:cs="Calibri"/>
        </w:rPr>
        <w:t>PHBTC</w:t>
      </w:r>
      <w:r w:rsidR="004C6C38">
        <w:rPr>
          <w:rFonts w:cs="Calibri"/>
        </w:rPr>
        <w:t xml:space="preserve">, and AABB </w:t>
      </w:r>
      <w:r w:rsidRPr="00031794">
        <w:rPr>
          <w:rFonts w:cs="Calibri"/>
        </w:rPr>
        <w:t>provide resources to help support agencies by providing additional guidance and references to help with transfusion programs</w:t>
      </w:r>
      <w:r w:rsidR="00031794">
        <w:rPr>
          <w:rFonts w:cs="Calibri"/>
        </w:rPr>
        <w:t>.</w:t>
      </w:r>
    </w:p>
    <w:p w14:paraId="670ED460" w14:textId="77777777" w:rsidR="00031794" w:rsidRPr="00031794" w:rsidRDefault="00031794" w:rsidP="00031794">
      <w:pPr>
        <w:pStyle w:val="ListParagraph"/>
        <w:rPr>
          <w:rFonts w:cs="Calibri"/>
          <w:b/>
          <w:bCs/>
          <w:u w:val="single"/>
        </w:rPr>
      </w:pPr>
    </w:p>
    <w:p w14:paraId="67C2E3D5" w14:textId="77777777" w:rsidR="00031794" w:rsidRPr="00031794" w:rsidRDefault="00031794" w:rsidP="00031794">
      <w:pPr>
        <w:pStyle w:val="ListParagraph"/>
        <w:spacing w:line="240" w:lineRule="auto"/>
        <w:rPr>
          <w:rFonts w:cs="Calibri"/>
          <w:b/>
          <w:bCs/>
          <w:u w:val="single"/>
        </w:rPr>
      </w:pPr>
    </w:p>
    <w:p w14:paraId="171791A6" w14:textId="641DB1D8" w:rsidR="00DB2592" w:rsidRDefault="00DB2592" w:rsidP="00031794">
      <w:pPr>
        <w:spacing w:line="240" w:lineRule="auto"/>
        <w:contextualSpacing/>
        <w:rPr>
          <w:rFonts w:cs="Calibri"/>
          <w:b/>
          <w:bCs/>
          <w:sz w:val="24"/>
          <w:szCs w:val="24"/>
          <w:u w:val="single"/>
        </w:rPr>
      </w:pPr>
      <w:r w:rsidRPr="00A01710">
        <w:rPr>
          <w:rFonts w:cs="Calibri"/>
          <w:b/>
          <w:bCs/>
          <w:sz w:val="24"/>
          <w:szCs w:val="24"/>
          <w:u w:val="single"/>
        </w:rPr>
        <w:t>Examples</w:t>
      </w:r>
      <w:r w:rsidR="008007F8">
        <w:rPr>
          <w:rFonts w:cs="Calibri"/>
          <w:b/>
          <w:bCs/>
          <w:sz w:val="24"/>
          <w:szCs w:val="24"/>
          <w:u w:val="single"/>
        </w:rPr>
        <w:t xml:space="preserve"> of Indications</w:t>
      </w:r>
      <w:r w:rsidRPr="00A01710">
        <w:rPr>
          <w:rFonts w:cs="Calibri"/>
          <w:b/>
          <w:bCs/>
          <w:sz w:val="24"/>
          <w:szCs w:val="24"/>
          <w:u w:val="single"/>
        </w:rPr>
        <w:t>:</w:t>
      </w:r>
    </w:p>
    <w:p w14:paraId="7C1AFDE5" w14:textId="77777777" w:rsidR="00031794" w:rsidRPr="00031794" w:rsidRDefault="00031794" w:rsidP="00031794">
      <w:pPr>
        <w:spacing w:line="240" w:lineRule="auto"/>
        <w:contextualSpacing/>
        <w:rPr>
          <w:rFonts w:cs="Calibri"/>
          <w:b/>
          <w:bCs/>
          <w:sz w:val="24"/>
          <w:szCs w:val="24"/>
          <w:u w:val="single"/>
        </w:rPr>
      </w:pPr>
    </w:p>
    <w:p w14:paraId="0C40473E" w14:textId="726CFF26" w:rsidR="0072793D" w:rsidRPr="00EE2126" w:rsidRDefault="0072793D" w:rsidP="0072793D">
      <w:pPr>
        <w:rPr>
          <w:rFonts w:cs="Calibri"/>
          <w:b/>
          <w:bCs/>
          <w:i/>
          <w:iCs/>
          <w:u w:val="single"/>
        </w:rPr>
      </w:pPr>
      <w:r w:rsidRPr="00EE2126">
        <w:rPr>
          <w:rFonts w:cs="Calibri"/>
          <w:b/>
          <w:bCs/>
          <w:i/>
          <w:iCs/>
          <w:u w:val="single"/>
        </w:rPr>
        <w:t>Clinical Indications</w:t>
      </w:r>
      <w:r w:rsidR="00EE2126" w:rsidRPr="00EE2126">
        <w:rPr>
          <w:rFonts w:cs="Calibri"/>
          <w:b/>
          <w:bCs/>
          <w:i/>
          <w:iCs/>
          <w:u w:val="single"/>
        </w:rPr>
        <w:t>:</w:t>
      </w:r>
    </w:p>
    <w:p w14:paraId="127A8225" w14:textId="44DB36F1" w:rsidR="0072793D" w:rsidRPr="00A01710" w:rsidRDefault="0072793D" w:rsidP="0072793D">
      <w:pPr>
        <w:rPr>
          <w:rFonts w:cs="Calibri"/>
        </w:rPr>
      </w:pPr>
      <w:r w:rsidRPr="0072793D">
        <w:rPr>
          <w:rFonts w:cs="Calibri"/>
        </w:rPr>
        <w:t xml:space="preserve">Suspected </w:t>
      </w:r>
      <w:r w:rsidRPr="00A01710">
        <w:rPr>
          <w:rFonts w:cs="Calibri"/>
          <w:i/>
          <w:iCs/>
        </w:rPr>
        <w:t>HEMORRHAGIC SHOCK</w:t>
      </w:r>
      <w:r w:rsidRPr="0072793D">
        <w:rPr>
          <w:rFonts w:cs="Calibri"/>
        </w:rPr>
        <w:t xml:space="preserve"> from trauma or medical cause:</w:t>
      </w:r>
    </w:p>
    <w:p w14:paraId="6EAF0A1F" w14:textId="623CA9B9" w:rsidR="00031794" w:rsidRDefault="00E77E15" w:rsidP="007A4197">
      <w:pPr>
        <w:ind w:firstLine="360"/>
        <w:rPr>
          <w:rFonts w:cs="Calibri"/>
          <w:i/>
          <w:iCs/>
          <w:u w:val="single"/>
        </w:rPr>
      </w:pPr>
      <w:r w:rsidRPr="00EE2126">
        <w:rPr>
          <w:rFonts w:cs="Calibri"/>
          <w:i/>
          <w:iCs/>
          <w:u w:val="single"/>
        </w:rPr>
        <w:t>Criteria</w:t>
      </w:r>
      <w:r w:rsidR="0072793D" w:rsidRPr="00EE2126">
        <w:rPr>
          <w:rFonts w:cs="Calibri"/>
          <w:i/>
          <w:iCs/>
          <w:u w:val="single"/>
        </w:rPr>
        <w:t xml:space="preserve"> to</w:t>
      </w:r>
      <w:r w:rsidR="00EE2126">
        <w:rPr>
          <w:rFonts w:cs="Calibri"/>
          <w:i/>
          <w:iCs/>
          <w:u w:val="single"/>
        </w:rPr>
        <w:t xml:space="preserve"> assist in</w:t>
      </w:r>
      <w:r w:rsidR="0072793D" w:rsidRPr="00EE2126">
        <w:rPr>
          <w:rFonts w:cs="Calibri"/>
          <w:i/>
          <w:iCs/>
          <w:u w:val="single"/>
        </w:rPr>
        <w:t xml:space="preserve"> recogni</w:t>
      </w:r>
      <w:r w:rsidR="00EE2126">
        <w:rPr>
          <w:rFonts w:cs="Calibri"/>
          <w:i/>
          <w:iCs/>
          <w:u w:val="single"/>
        </w:rPr>
        <w:t>tion of</w:t>
      </w:r>
      <w:r w:rsidR="0072793D" w:rsidRPr="00EE2126">
        <w:rPr>
          <w:rFonts w:cs="Calibri"/>
          <w:i/>
          <w:iCs/>
          <w:u w:val="single"/>
        </w:rPr>
        <w:t xml:space="preserve"> hemorrhagic shock</w:t>
      </w:r>
    </w:p>
    <w:p w14:paraId="5FDB34A4" w14:textId="77777777" w:rsidR="00031794" w:rsidRPr="00031794" w:rsidRDefault="00E77E15" w:rsidP="00031794">
      <w:pPr>
        <w:pStyle w:val="ListParagraph"/>
        <w:numPr>
          <w:ilvl w:val="0"/>
          <w:numId w:val="12"/>
        </w:numPr>
        <w:rPr>
          <w:rFonts w:cs="Calibri"/>
          <w:i/>
          <w:iCs/>
          <w:u w:val="single"/>
        </w:rPr>
      </w:pPr>
      <w:r w:rsidRPr="00031794">
        <w:rPr>
          <w:rFonts w:cs="Calibri"/>
        </w:rPr>
        <w:lastRenderedPageBreak/>
        <w:t>Altered mental status (not believed to be due to intoxication or head injury)</w:t>
      </w:r>
    </w:p>
    <w:p w14:paraId="59C82D57" w14:textId="77777777" w:rsidR="00031794" w:rsidRPr="00031794" w:rsidRDefault="00E77E15" w:rsidP="00031794">
      <w:pPr>
        <w:pStyle w:val="ListParagraph"/>
        <w:numPr>
          <w:ilvl w:val="0"/>
          <w:numId w:val="12"/>
        </w:numPr>
        <w:rPr>
          <w:rFonts w:cs="Calibri"/>
          <w:i/>
          <w:iCs/>
          <w:u w:val="single"/>
        </w:rPr>
      </w:pPr>
      <w:r w:rsidRPr="00031794">
        <w:rPr>
          <w:rFonts w:cs="Calibri"/>
        </w:rPr>
        <w:t>Pale, cool, clammy skin; pale mucosa</w:t>
      </w:r>
    </w:p>
    <w:p w14:paraId="63264E57" w14:textId="79FEA32A" w:rsidR="00F3330A" w:rsidRDefault="00E77E15" w:rsidP="00F3330A">
      <w:pPr>
        <w:pStyle w:val="ListParagraph"/>
        <w:numPr>
          <w:ilvl w:val="0"/>
          <w:numId w:val="12"/>
        </w:numPr>
        <w:rPr>
          <w:rFonts w:cs="Calibri"/>
        </w:rPr>
      </w:pPr>
      <w:r w:rsidRPr="00031794">
        <w:rPr>
          <w:rFonts w:cs="Calibri"/>
        </w:rPr>
        <w:t>Delayed capillary refill (&gt; 2 seconds</w:t>
      </w:r>
      <w:r w:rsidR="00F3330A">
        <w:rPr>
          <w:rFonts w:cs="Calibri"/>
        </w:rPr>
        <w:t>)</w:t>
      </w:r>
    </w:p>
    <w:p w14:paraId="221612B2" w14:textId="4C47FA85" w:rsidR="009E0144" w:rsidRDefault="00F3330A" w:rsidP="009E0144">
      <w:pPr>
        <w:pStyle w:val="ListParagraph"/>
        <w:numPr>
          <w:ilvl w:val="0"/>
          <w:numId w:val="15"/>
        </w:numPr>
        <w:rPr>
          <w:rFonts w:cs="Calibri"/>
        </w:rPr>
      </w:pPr>
      <w:r>
        <w:rPr>
          <w:rFonts w:cs="Calibri"/>
        </w:rPr>
        <w:t>Tachypnea</w:t>
      </w:r>
    </w:p>
    <w:p w14:paraId="0850C075" w14:textId="58411C12" w:rsidR="006921B9" w:rsidRPr="00FB25F7" w:rsidRDefault="009E0144" w:rsidP="00FB25F7">
      <w:pPr>
        <w:pStyle w:val="ListParagraph"/>
        <w:numPr>
          <w:ilvl w:val="0"/>
          <w:numId w:val="15"/>
        </w:numPr>
        <w:rPr>
          <w:rFonts w:cs="Calibri"/>
        </w:rPr>
      </w:pPr>
      <w:r w:rsidRPr="009E0144">
        <w:rPr>
          <w:rFonts w:cs="Calibri"/>
        </w:rPr>
        <w:t>Obvious</w:t>
      </w:r>
      <w:r w:rsidR="004A3293">
        <w:rPr>
          <w:rFonts w:cs="Calibri"/>
        </w:rPr>
        <w:t xml:space="preserve"> source or </w:t>
      </w:r>
      <w:r w:rsidR="00AE1D22">
        <w:rPr>
          <w:rFonts w:cs="Calibri"/>
        </w:rPr>
        <w:t>suspected</w:t>
      </w:r>
      <w:r w:rsidRPr="009E0144">
        <w:rPr>
          <w:rFonts w:cs="Calibri"/>
        </w:rPr>
        <w:t xml:space="preserve"> </w:t>
      </w:r>
      <w:r w:rsidR="004A3293">
        <w:rPr>
          <w:rFonts w:cs="Calibri"/>
        </w:rPr>
        <w:t>b</w:t>
      </w:r>
      <w:r w:rsidRPr="009E0144">
        <w:rPr>
          <w:rFonts w:cs="Calibri"/>
        </w:rPr>
        <w:t xml:space="preserve">lood </w:t>
      </w:r>
      <w:r w:rsidR="004A3293">
        <w:rPr>
          <w:rFonts w:cs="Calibri"/>
        </w:rPr>
        <w:t>l</w:t>
      </w:r>
      <w:r w:rsidRPr="009E0144">
        <w:rPr>
          <w:rFonts w:cs="Calibri"/>
        </w:rPr>
        <w:t>oss</w:t>
      </w:r>
    </w:p>
    <w:p w14:paraId="3F92CE57" w14:textId="006291C5" w:rsidR="0072793D" w:rsidRPr="0072793D" w:rsidRDefault="0072793D" w:rsidP="00F3330A">
      <w:pPr>
        <w:pStyle w:val="ListParagraph"/>
      </w:pPr>
    </w:p>
    <w:p w14:paraId="4788D37E" w14:textId="7C18CA86" w:rsidR="0072793D" w:rsidRPr="00F3330A" w:rsidRDefault="00EE2126" w:rsidP="0072793D">
      <w:pPr>
        <w:rPr>
          <w:rFonts w:cs="Calibri"/>
          <w:b/>
          <w:bCs/>
          <w:i/>
          <w:iCs/>
          <w:u w:val="single"/>
        </w:rPr>
      </w:pPr>
      <w:r w:rsidRPr="00EE2126">
        <w:rPr>
          <w:rFonts w:cs="Calibri"/>
          <w:b/>
          <w:bCs/>
          <w:i/>
          <w:iCs/>
          <w:u w:val="single"/>
        </w:rPr>
        <w:t>E</w:t>
      </w:r>
      <w:r w:rsidR="0072793D" w:rsidRPr="00EE2126">
        <w:rPr>
          <w:rFonts w:cs="Calibri"/>
          <w:b/>
          <w:bCs/>
          <w:i/>
          <w:iCs/>
          <w:u w:val="single"/>
        </w:rPr>
        <w:t>xamples of parameters</w:t>
      </w:r>
      <w:r w:rsidR="008007F8" w:rsidRPr="00EE2126">
        <w:rPr>
          <w:rFonts w:cs="Calibri"/>
          <w:b/>
          <w:bCs/>
          <w:i/>
          <w:iCs/>
          <w:u w:val="single"/>
        </w:rPr>
        <w:t>/triggers</w:t>
      </w:r>
      <w:r w:rsidR="0072793D" w:rsidRPr="00EE2126">
        <w:rPr>
          <w:rFonts w:cs="Calibri"/>
          <w:b/>
          <w:bCs/>
          <w:i/>
          <w:iCs/>
          <w:u w:val="single"/>
        </w:rPr>
        <w:t xml:space="preserve"> that may be used by the EMS medical director to determine if a patient meets criteria for blood are:</w:t>
      </w:r>
    </w:p>
    <w:p w14:paraId="6726733F" w14:textId="77777777" w:rsidR="0072793D" w:rsidRPr="00EE2126" w:rsidRDefault="0072793D" w:rsidP="0072793D">
      <w:pPr>
        <w:rPr>
          <w:rFonts w:cs="Calibri"/>
          <w:u w:val="single"/>
        </w:rPr>
      </w:pPr>
      <w:r w:rsidRPr="00EE2126">
        <w:rPr>
          <w:rFonts w:cs="Calibri"/>
          <w:u w:val="single"/>
        </w:rPr>
        <w:t>Adults:</w:t>
      </w:r>
    </w:p>
    <w:p w14:paraId="492015FF" w14:textId="4123FC3E" w:rsidR="0072793D" w:rsidRPr="00F3330A" w:rsidRDefault="0072793D" w:rsidP="00F3330A">
      <w:pPr>
        <w:pStyle w:val="ListParagraph"/>
        <w:numPr>
          <w:ilvl w:val="0"/>
          <w:numId w:val="16"/>
        </w:numPr>
        <w:rPr>
          <w:rFonts w:cs="Calibri"/>
        </w:rPr>
      </w:pPr>
      <w:r w:rsidRPr="00F3330A">
        <w:rPr>
          <w:rFonts w:cs="Calibri"/>
        </w:rPr>
        <w:t xml:space="preserve">Systolic blood pressure (SBP) less than </w:t>
      </w:r>
      <w:r w:rsidR="00E77E15" w:rsidRPr="00F3330A">
        <w:rPr>
          <w:rFonts w:cs="Calibri"/>
        </w:rPr>
        <w:t xml:space="preserve">70 </w:t>
      </w:r>
      <w:r w:rsidRPr="00F3330A">
        <w:rPr>
          <w:rFonts w:cs="Calibri"/>
        </w:rPr>
        <w:t>mmHg or weak or absent radial pulse,</w:t>
      </w:r>
    </w:p>
    <w:p w14:paraId="553AC659" w14:textId="77777777" w:rsidR="00F3330A" w:rsidRDefault="0072793D" w:rsidP="00F3330A">
      <w:pPr>
        <w:ind w:left="720"/>
        <w:rPr>
          <w:rFonts w:cs="Calibri"/>
        </w:rPr>
      </w:pPr>
      <w:r w:rsidRPr="0072793D">
        <w:rPr>
          <w:rFonts w:cs="Calibri"/>
        </w:rPr>
        <w:t>and/or</w:t>
      </w:r>
    </w:p>
    <w:p w14:paraId="2512EBEE" w14:textId="77777777" w:rsidR="00476C90" w:rsidRDefault="00F3330A" w:rsidP="00476C90">
      <w:pPr>
        <w:pStyle w:val="ListParagraph"/>
        <w:numPr>
          <w:ilvl w:val="0"/>
          <w:numId w:val="16"/>
        </w:numPr>
        <w:rPr>
          <w:rFonts w:cs="Calibri"/>
        </w:rPr>
      </w:pPr>
      <w:r>
        <w:rPr>
          <w:rFonts w:cs="Calibri"/>
        </w:rPr>
        <w:t xml:space="preserve">Shock </w:t>
      </w:r>
      <w:r w:rsidR="0072793D" w:rsidRPr="00F3330A">
        <w:rPr>
          <w:rFonts w:cs="Calibri"/>
        </w:rPr>
        <w:t>Index (HR/SBP) from 0.9 to 1.2</w:t>
      </w:r>
    </w:p>
    <w:p w14:paraId="1F0776D8" w14:textId="77777777" w:rsidR="00476C90" w:rsidRDefault="00E77E15" w:rsidP="00476C90">
      <w:pPr>
        <w:pStyle w:val="ListParagraph"/>
        <w:numPr>
          <w:ilvl w:val="1"/>
          <w:numId w:val="16"/>
        </w:numPr>
        <w:rPr>
          <w:rFonts w:cs="Calibri"/>
        </w:rPr>
      </w:pPr>
      <w:r w:rsidRPr="00476C90">
        <w:rPr>
          <w:rFonts w:cs="Calibri"/>
        </w:rPr>
        <w:t>Examples include:</w:t>
      </w:r>
    </w:p>
    <w:p w14:paraId="21B24602" w14:textId="77777777" w:rsidR="00476C90" w:rsidRDefault="00E77E15" w:rsidP="00476C90">
      <w:pPr>
        <w:pStyle w:val="ListParagraph"/>
        <w:numPr>
          <w:ilvl w:val="2"/>
          <w:numId w:val="16"/>
        </w:numPr>
        <w:rPr>
          <w:rFonts w:cs="Calibri"/>
        </w:rPr>
      </w:pPr>
      <w:r w:rsidRPr="00476C90">
        <w:rPr>
          <w:rFonts w:cs="Calibri"/>
        </w:rPr>
        <w:t xml:space="preserve"> HR 110/SBP 90 = SI 1.22</w:t>
      </w:r>
    </w:p>
    <w:p w14:paraId="1A959CDA" w14:textId="36FBED57" w:rsidR="00476C90" w:rsidRDefault="00E77E15" w:rsidP="00476C90">
      <w:pPr>
        <w:pStyle w:val="ListParagraph"/>
        <w:numPr>
          <w:ilvl w:val="2"/>
          <w:numId w:val="16"/>
        </w:numPr>
        <w:rPr>
          <w:rFonts w:cs="Calibri"/>
        </w:rPr>
      </w:pPr>
      <w:r w:rsidRPr="00476C90">
        <w:rPr>
          <w:rFonts w:cs="Calibri"/>
        </w:rPr>
        <w:t>HR 90/ SBP 100 = SI 0.9</w:t>
      </w:r>
      <w:r w:rsidR="00476C90">
        <w:rPr>
          <w:rFonts w:cs="Calibri"/>
        </w:rPr>
        <w:t xml:space="preserve"> </w:t>
      </w:r>
      <w:r w:rsidR="00920A8E" w:rsidRPr="00476C90">
        <w:rPr>
          <w:rFonts w:cs="Calibri"/>
        </w:rPr>
        <w:t>and/or</w:t>
      </w:r>
    </w:p>
    <w:p w14:paraId="58D55F4E" w14:textId="2232923A" w:rsidR="008A5AAE" w:rsidRPr="008A5AAE" w:rsidRDefault="0032722A" w:rsidP="00D8419A">
      <w:pPr>
        <w:pStyle w:val="ListParagraph"/>
        <w:numPr>
          <w:ilvl w:val="0"/>
          <w:numId w:val="16"/>
        </w:numPr>
        <w:rPr>
          <w:rFonts w:cs="Calibri"/>
        </w:rPr>
      </w:pPr>
      <w:r>
        <w:rPr>
          <w:rFonts w:cs="Calibri"/>
        </w:rPr>
        <w:t>ETCO2 &lt;25 mmHG and/or</w:t>
      </w:r>
    </w:p>
    <w:p w14:paraId="0D45A083" w14:textId="5668226F" w:rsidR="0093778F" w:rsidRPr="00476C90" w:rsidRDefault="00E77E15" w:rsidP="00D8419A">
      <w:pPr>
        <w:pStyle w:val="ListParagraph"/>
        <w:numPr>
          <w:ilvl w:val="0"/>
          <w:numId w:val="16"/>
        </w:numPr>
      </w:pPr>
      <w:r w:rsidRPr="00476C90">
        <w:t>Ultrasound showing signs of intrabdominal/pelvic hemorrhage</w:t>
      </w:r>
    </w:p>
    <w:p w14:paraId="3F3A4060" w14:textId="5E1E760E" w:rsidR="00476C90" w:rsidRDefault="0072793D" w:rsidP="00476C90">
      <w:pPr>
        <w:rPr>
          <w:rFonts w:cs="Calibri"/>
          <w:u w:val="single"/>
        </w:rPr>
      </w:pPr>
      <w:r w:rsidRPr="00EE2126">
        <w:rPr>
          <w:rFonts w:cs="Calibri"/>
          <w:u w:val="single"/>
        </w:rPr>
        <w:t>Pediatrics:</w:t>
      </w:r>
    </w:p>
    <w:p w14:paraId="72583E86" w14:textId="77777777" w:rsidR="00476C90" w:rsidRDefault="00917FFC" w:rsidP="00476C90">
      <w:pPr>
        <w:pStyle w:val="ListParagraph"/>
        <w:numPr>
          <w:ilvl w:val="0"/>
          <w:numId w:val="16"/>
        </w:numPr>
        <w:rPr>
          <w:rFonts w:cs="Calibri"/>
        </w:rPr>
      </w:pPr>
      <w:r w:rsidRPr="00476C90">
        <w:rPr>
          <w:rFonts w:cs="Calibri"/>
        </w:rPr>
        <w:t>Shock Index, Pediatric Adjusted (SIPA)</w:t>
      </w:r>
    </w:p>
    <w:p w14:paraId="6D2841D3" w14:textId="77777777" w:rsidR="00476C90" w:rsidRDefault="00917FFC" w:rsidP="00476C90">
      <w:pPr>
        <w:pStyle w:val="ListParagraph"/>
        <w:numPr>
          <w:ilvl w:val="1"/>
          <w:numId w:val="16"/>
        </w:numPr>
        <w:rPr>
          <w:rFonts w:cs="Calibri"/>
        </w:rPr>
      </w:pPr>
      <w:r w:rsidRPr="00476C90">
        <w:rPr>
          <w:rFonts w:cs="Calibri"/>
        </w:rPr>
        <w:t>4-6 years = 1.2</w:t>
      </w:r>
    </w:p>
    <w:p w14:paraId="5946D9F2" w14:textId="77777777" w:rsidR="00476C90" w:rsidRDefault="00917FFC" w:rsidP="00476C90">
      <w:pPr>
        <w:pStyle w:val="ListParagraph"/>
        <w:numPr>
          <w:ilvl w:val="1"/>
          <w:numId w:val="16"/>
        </w:numPr>
        <w:rPr>
          <w:rFonts w:cs="Calibri"/>
        </w:rPr>
      </w:pPr>
      <w:r w:rsidRPr="00476C90">
        <w:rPr>
          <w:rFonts w:cs="Calibri"/>
        </w:rPr>
        <w:t>6-12 years = 1</w:t>
      </w:r>
    </w:p>
    <w:p w14:paraId="5E2544FB" w14:textId="6F6037BA" w:rsidR="00476C90" w:rsidRPr="00476C90" w:rsidRDefault="00917FFC" w:rsidP="00476C90">
      <w:pPr>
        <w:pStyle w:val="ListParagraph"/>
        <w:numPr>
          <w:ilvl w:val="1"/>
          <w:numId w:val="16"/>
        </w:numPr>
        <w:rPr>
          <w:rFonts w:cs="Calibri"/>
        </w:rPr>
      </w:pPr>
      <w:r w:rsidRPr="00476C90">
        <w:rPr>
          <w:rFonts w:cs="Calibri"/>
        </w:rPr>
        <w:t>&gt; 12 years = 0.9</w:t>
      </w:r>
    </w:p>
    <w:p w14:paraId="5DF940D4" w14:textId="3175FAC0" w:rsidR="00476C90" w:rsidRPr="00476C90" w:rsidRDefault="00476C90" w:rsidP="00476C90">
      <w:pPr>
        <w:pStyle w:val="ListParagraph"/>
        <w:numPr>
          <w:ilvl w:val="0"/>
          <w:numId w:val="16"/>
        </w:numPr>
        <w:rPr>
          <w:rFonts w:cs="Calibri"/>
        </w:rPr>
      </w:pPr>
      <w:r>
        <w:rPr>
          <w:rFonts w:cs="Calibri"/>
        </w:rPr>
        <w:t xml:space="preserve">Systolic </w:t>
      </w:r>
      <w:r w:rsidRPr="00476C90">
        <w:rPr>
          <w:rFonts w:cs="Calibri"/>
        </w:rPr>
        <w:t>BP less than 70 + (Age in years × 2) and/or</w:t>
      </w:r>
    </w:p>
    <w:p w14:paraId="6B8DCF7E" w14:textId="51A3EF32" w:rsidR="00476C90" w:rsidRDefault="0072793D" w:rsidP="00476C90">
      <w:pPr>
        <w:pStyle w:val="ListParagraph"/>
        <w:numPr>
          <w:ilvl w:val="0"/>
          <w:numId w:val="16"/>
        </w:numPr>
        <w:rPr>
          <w:rFonts w:cs="Calibri"/>
        </w:rPr>
      </w:pPr>
      <w:r w:rsidRPr="00476C90">
        <w:rPr>
          <w:rFonts w:cs="Calibri"/>
        </w:rPr>
        <w:t>Heart Rate:</w:t>
      </w:r>
    </w:p>
    <w:p w14:paraId="5FF1C618" w14:textId="7E103E6C" w:rsidR="00476C90" w:rsidRDefault="00476C90" w:rsidP="00476C90">
      <w:pPr>
        <w:pStyle w:val="ListParagraph"/>
        <w:numPr>
          <w:ilvl w:val="1"/>
          <w:numId w:val="16"/>
        </w:numPr>
        <w:rPr>
          <w:rFonts w:cs="Calibri"/>
        </w:rPr>
      </w:pPr>
      <w:r>
        <w:rPr>
          <w:rFonts w:cs="Calibri"/>
        </w:rPr>
        <w:t>1 year: greater than 190</w:t>
      </w:r>
    </w:p>
    <w:p w14:paraId="4E9A3F49" w14:textId="778D03CF" w:rsidR="00476C90" w:rsidRDefault="00476C90" w:rsidP="007A4197">
      <w:pPr>
        <w:pStyle w:val="ListParagraph"/>
        <w:numPr>
          <w:ilvl w:val="1"/>
          <w:numId w:val="16"/>
        </w:numPr>
        <w:rPr>
          <w:rFonts w:cs="Calibri"/>
        </w:rPr>
      </w:pPr>
      <w:r>
        <w:rPr>
          <w:rFonts w:cs="Calibri"/>
        </w:rPr>
        <w:t>2-10 years: greater than 140</w:t>
      </w:r>
    </w:p>
    <w:p w14:paraId="03C01B11" w14:textId="0729C847" w:rsidR="00A22D5B" w:rsidRPr="007A4197" w:rsidRDefault="00A22D5B" w:rsidP="00F86A35">
      <w:pPr>
        <w:pStyle w:val="ListParagraph"/>
        <w:numPr>
          <w:ilvl w:val="0"/>
          <w:numId w:val="16"/>
        </w:numPr>
        <w:rPr>
          <w:rFonts w:cs="Calibri"/>
        </w:rPr>
      </w:pPr>
      <w:r>
        <w:rPr>
          <w:rFonts w:cs="Calibri"/>
        </w:rPr>
        <w:t>Tachypnea</w:t>
      </w:r>
    </w:p>
    <w:p w14:paraId="40B13A72" w14:textId="77777777" w:rsidR="008007F8" w:rsidRDefault="008007F8" w:rsidP="00476C90"/>
    <w:p w14:paraId="4CB9EB32" w14:textId="11132E0F" w:rsidR="008007F8" w:rsidRPr="00AF7CFD" w:rsidRDefault="008007F8">
      <w:pPr>
        <w:rPr>
          <w:rFonts w:cs="Calibri"/>
          <w:b/>
          <w:bCs/>
          <w:sz w:val="24"/>
          <w:szCs w:val="24"/>
          <w:u w:val="single"/>
        </w:rPr>
      </w:pPr>
      <w:r w:rsidRPr="00AF7CFD">
        <w:rPr>
          <w:rFonts w:cs="Calibri"/>
          <w:b/>
          <w:bCs/>
          <w:sz w:val="24"/>
          <w:szCs w:val="24"/>
          <w:u w:val="single"/>
        </w:rPr>
        <w:t>Contraindications:</w:t>
      </w:r>
    </w:p>
    <w:p w14:paraId="58B61981" w14:textId="044EAB5D" w:rsidR="007A4197" w:rsidRPr="008B2F1E" w:rsidRDefault="008007F8" w:rsidP="00F86A35">
      <w:pPr>
        <w:pStyle w:val="ListParagraph"/>
        <w:numPr>
          <w:ilvl w:val="0"/>
          <w:numId w:val="21"/>
        </w:numPr>
        <w:rPr>
          <w:rFonts w:cs="Calibri"/>
        </w:rPr>
      </w:pPr>
      <w:r w:rsidRPr="008B2F1E">
        <w:rPr>
          <w:rFonts w:cs="Calibri"/>
        </w:rPr>
        <w:t xml:space="preserve">Religious </w:t>
      </w:r>
      <w:r w:rsidR="005A5456">
        <w:rPr>
          <w:rFonts w:cs="Calibri"/>
        </w:rPr>
        <w:t xml:space="preserve">or any other </w:t>
      </w:r>
      <w:r w:rsidR="00F761DF" w:rsidRPr="008B2F1E">
        <w:rPr>
          <w:rFonts w:cs="Calibri"/>
        </w:rPr>
        <w:t>objection</w:t>
      </w:r>
      <w:r w:rsidRPr="008B2F1E">
        <w:rPr>
          <w:rFonts w:cs="Calibri"/>
        </w:rPr>
        <w:t xml:space="preserve"> to </w:t>
      </w:r>
      <w:r w:rsidR="00F761DF" w:rsidRPr="008B2F1E">
        <w:rPr>
          <w:rFonts w:cs="Calibri"/>
        </w:rPr>
        <w:t>receiving</w:t>
      </w:r>
      <w:r w:rsidRPr="008B2F1E">
        <w:rPr>
          <w:rFonts w:cs="Calibri"/>
        </w:rPr>
        <w:t xml:space="preserve"> </w:t>
      </w:r>
      <w:r w:rsidR="00C17E8F" w:rsidRPr="008B2F1E">
        <w:rPr>
          <w:rFonts w:cs="Calibri"/>
        </w:rPr>
        <w:t>blood</w:t>
      </w:r>
      <w:r w:rsidR="00987281" w:rsidRPr="008B2F1E">
        <w:rPr>
          <w:rFonts w:cs="Calibri"/>
        </w:rPr>
        <w:t xml:space="preserve"> </w:t>
      </w:r>
      <w:r w:rsidR="00F153D4">
        <w:rPr>
          <w:rFonts w:cs="Calibri"/>
        </w:rPr>
        <w:t>product</w:t>
      </w:r>
      <w:r w:rsidR="005A5456">
        <w:rPr>
          <w:rFonts w:cs="Calibri"/>
        </w:rPr>
        <w:t>s</w:t>
      </w:r>
      <w:r w:rsidR="00AF1B2A">
        <w:rPr>
          <w:rFonts w:cs="Calibri"/>
        </w:rPr>
        <w:t>,</w:t>
      </w:r>
      <w:r w:rsidR="00F153D4">
        <w:rPr>
          <w:rFonts w:cs="Calibri"/>
        </w:rPr>
        <w:t xml:space="preserve"> </w:t>
      </w:r>
      <w:r w:rsidR="00987281" w:rsidRPr="008B2F1E">
        <w:rPr>
          <w:rFonts w:cs="Calibri"/>
        </w:rPr>
        <w:t>as per federal/state law</w:t>
      </w:r>
    </w:p>
    <w:p w14:paraId="79E0EB7E" w14:textId="335FF082" w:rsidR="0072793D" w:rsidRPr="00920A8E" w:rsidRDefault="00E77E15">
      <w:pPr>
        <w:rPr>
          <w:rFonts w:cs="Calibri"/>
          <w:b/>
          <w:bCs/>
        </w:rPr>
      </w:pPr>
      <w:r w:rsidRPr="00920A8E">
        <w:rPr>
          <w:rFonts w:cs="Calibri"/>
          <w:b/>
          <w:bCs/>
        </w:rPr>
        <w:t>Notes:</w:t>
      </w:r>
    </w:p>
    <w:p w14:paraId="10A65D2D" w14:textId="2547FCDC" w:rsidR="00E77E15" w:rsidRPr="00E7089A" w:rsidRDefault="00E77E15" w:rsidP="00E7089A">
      <w:pPr>
        <w:pStyle w:val="ListParagraph"/>
        <w:numPr>
          <w:ilvl w:val="0"/>
          <w:numId w:val="19"/>
        </w:numPr>
        <w:rPr>
          <w:rFonts w:cs="Calibri"/>
        </w:rPr>
      </w:pPr>
      <w:r w:rsidRPr="00E7089A">
        <w:rPr>
          <w:rFonts w:cs="Calibri"/>
        </w:rPr>
        <w:t>Th</w:t>
      </w:r>
      <w:r w:rsidR="00920A8E" w:rsidRPr="00E7089A">
        <w:rPr>
          <w:rFonts w:cs="Calibri"/>
        </w:rPr>
        <w:t>e</w:t>
      </w:r>
      <w:r w:rsidRPr="00E7089A">
        <w:rPr>
          <w:rFonts w:cs="Calibri"/>
        </w:rPr>
        <w:t xml:space="preserve"> </w:t>
      </w:r>
      <w:r w:rsidR="008007F8" w:rsidRPr="00E7089A">
        <w:rPr>
          <w:rFonts w:cs="Calibri"/>
        </w:rPr>
        <w:t xml:space="preserve">clinical parameters </w:t>
      </w:r>
      <w:r w:rsidRPr="00E7089A">
        <w:rPr>
          <w:rFonts w:cs="Calibri"/>
        </w:rPr>
        <w:t>list is not exhaustive.  For example, some agencies have prehospital capabilities to check hemoglobin and hematocrit.  Any measured clinical parameter should be considered in the context of the patient presentation.  The prehospital provider must suspect that the patient is in hemorrhagic shock.</w:t>
      </w:r>
    </w:p>
    <w:p w14:paraId="3DE17757" w14:textId="77777777" w:rsidR="00E7089A" w:rsidRDefault="00E77E15" w:rsidP="00E7089A">
      <w:pPr>
        <w:pStyle w:val="ListParagraph"/>
        <w:numPr>
          <w:ilvl w:val="0"/>
          <w:numId w:val="18"/>
        </w:numPr>
        <w:rPr>
          <w:rFonts w:cs="Calibri"/>
        </w:rPr>
      </w:pPr>
      <w:r w:rsidRPr="00E7089A">
        <w:rPr>
          <w:rFonts w:cs="Calibri"/>
        </w:rPr>
        <w:t xml:space="preserve">Special consideration may be given to those over the age of 65 years old. </w:t>
      </w:r>
    </w:p>
    <w:p w14:paraId="1B8B9C05" w14:textId="77777777" w:rsidR="00E7089A" w:rsidRDefault="00E77E15" w:rsidP="00E7089A">
      <w:pPr>
        <w:pStyle w:val="ListParagraph"/>
        <w:numPr>
          <w:ilvl w:val="0"/>
          <w:numId w:val="18"/>
        </w:numPr>
        <w:rPr>
          <w:rFonts w:cs="Calibri"/>
        </w:rPr>
      </w:pPr>
      <w:r w:rsidRPr="00E7089A">
        <w:rPr>
          <w:rFonts w:cs="Calibri"/>
        </w:rPr>
        <w:t>Pediatric patients should have a measurable way to determine transfusion volume.</w:t>
      </w:r>
    </w:p>
    <w:p w14:paraId="48F868D7" w14:textId="77777777" w:rsidR="00E7089A" w:rsidRDefault="00920A8E" w:rsidP="00E7089A">
      <w:pPr>
        <w:pStyle w:val="ListParagraph"/>
        <w:numPr>
          <w:ilvl w:val="0"/>
          <w:numId w:val="18"/>
        </w:numPr>
        <w:rPr>
          <w:rFonts w:cs="Calibri"/>
        </w:rPr>
      </w:pPr>
      <w:r w:rsidRPr="00E7089A">
        <w:rPr>
          <w:rFonts w:cs="Calibri"/>
        </w:rPr>
        <w:lastRenderedPageBreak/>
        <w:t>Select w</w:t>
      </w:r>
      <w:r w:rsidR="00A01710" w:rsidRPr="00E7089A">
        <w:rPr>
          <w:rFonts w:cs="Calibri"/>
        </w:rPr>
        <w:t>itnessed traumatic arrest patients have been shown to benefit from LTOWB transfusion.</w:t>
      </w:r>
    </w:p>
    <w:p w14:paraId="4F676A4A" w14:textId="77777777" w:rsidR="00E7089A" w:rsidRDefault="006B37A1" w:rsidP="00E7089A">
      <w:pPr>
        <w:pStyle w:val="ListParagraph"/>
        <w:numPr>
          <w:ilvl w:val="0"/>
          <w:numId w:val="18"/>
        </w:numPr>
        <w:rPr>
          <w:rFonts w:cs="Calibri"/>
        </w:rPr>
      </w:pPr>
      <w:r w:rsidRPr="00E7089A">
        <w:rPr>
          <w:rFonts w:cs="Calibri"/>
        </w:rPr>
        <w:t>Prehospital LTOWB is one of the tools for EMS Medical Directors and EMS Agencies to implement for those in hemorrhagic shock.  For trauma patients</w:t>
      </w:r>
      <w:r w:rsidR="006B395B" w:rsidRPr="00E7089A">
        <w:rPr>
          <w:rFonts w:cs="Calibri"/>
        </w:rPr>
        <w:t>,</w:t>
      </w:r>
      <w:r w:rsidRPr="00E7089A">
        <w:rPr>
          <w:rFonts w:cs="Calibri"/>
        </w:rPr>
        <w:t xml:space="preserve"> a robust trauma guideline</w:t>
      </w:r>
      <w:r w:rsidR="00A16898" w:rsidRPr="00E7089A">
        <w:rPr>
          <w:rFonts w:cs="Calibri"/>
        </w:rPr>
        <w:t>/protocol</w:t>
      </w:r>
      <w:r w:rsidRPr="00E7089A">
        <w:rPr>
          <w:rFonts w:cs="Calibri"/>
        </w:rPr>
        <w:t xml:space="preserve"> to treat patients</w:t>
      </w:r>
      <w:r w:rsidR="00A16898" w:rsidRPr="00E7089A">
        <w:rPr>
          <w:rFonts w:cs="Calibri"/>
        </w:rPr>
        <w:t>,</w:t>
      </w:r>
      <w:r w:rsidRPr="00E7089A">
        <w:rPr>
          <w:rFonts w:cs="Calibri"/>
        </w:rPr>
        <w:t xml:space="preserve"> such as MARCH</w:t>
      </w:r>
      <w:r w:rsidR="00A16898" w:rsidRPr="00E7089A">
        <w:rPr>
          <w:rFonts w:cs="Calibri"/>
        </w:rPr>
        <w:t>,</w:t>
      </w:r>
      <w:r w:rsidRPr="00E7089A">
        <w:rPr>
          <w:rFonts w:cs="Calibri"/>
        </w:rPr>
        <w:t xml:space="preserve"> is critical for overall patient survival.</w:t>
      </w:r>
    </w:p>
    <w:p w14:paraId="7D690123" w14:textId="7BC854BA" w:rsidR="00E53732" w:rsidRPr="00E7089A" w:rsidRDefault="00E53732" w:rsidP="00E7089A">
      <w:pPr>
        <w:pStyle w:val="ListParagraph"/>
        <w:numPr>
          <w:ilvl w:val="0"/>
          <w:numId w:val="18"/>
        </w:numPr>
        <w:rPr>
          <w:rFonts w:cs="Calibri"/>
        </w:rPr>
      </w:pPr>
      <w:r w:rsidRPr="00E7089A">
        <w:rPr>
          <w:rFonts w:cs="Calibri"/>
        </w:rPr>
        <w:t>If the EMS provider/agency does not have access to LTOWB, alternative blood products such as plasma, red blood cells, and platelets can be substituted with the same or similar guidelines as used for LTOWB.</w:t>
      </w:r>
    </w:p>
    <w:p w14:paraId="7AFEF1E6" w14:textId="77777777" w:rsidR="002237E0" w:rsidRPr="00A01710" w:rsidRDefault="002237E0">
      <w:pPr>
        <w:rPr>
          <w:rFonts w:cs="Calibri"/>
        </w:rPr>
      </w:pPr>
    </w:p>
    <w:p w14:paraId="3B50BF7F" w14:textId="77777777" w:rsidR="00053AFC" w:rsidRPr="00D8419A" w:rsidRDefault="00053AFC" w:rsidP="00053AFC">
      <w:pPr>
        <w:spacing w:line="278" w:lineRule="auto"/>
        <w:rPr>
          <w:rFonts w:cs="Calibri"/>
          <w:b/>
          <w:bCs/>
          <w:sz w:val="24"/>
          <w:szCs w:val="24"/>
          <w:u w:val="single"/>
        </w:rPr>
      </w:pPr>
      <w:r w:rsidRPr="00D8419A">
        <w:rPr>
          <w:rFonts w:cs="Calibri"/>
          <w:b/>
          <w:bCs/>
          <w:sz w:val="24"/>
          <w:szCs w:val="24"/>
          <w:u w:val="single"/>
        </w:rPr>
        <w:t>Definitions and Abbreviations</w:t>
      </w:r>
    </w:p>
    <w:p w14:paraId="23CF35EB" w14:textId="77777777" w:rsidR="00053AFC" w:rsidRPr="00D8419A" w:rsidRDefault="00053AFC" w:rsidP="00E7089A">
      <w:pPr>
        <w:pStyle w:val="ListParagraph"/>
        <w:numPr>
          <w:ilvl w:val="0"/>
          <w:numId w:val="20"/>
        </w:numPr>
        <w:spacing w:after="0" w:line="278" w:lineRule="auto"/>
        <w:rPr>
          <w:rFonts w:cs="Calibri"/>
        </w:rPr>
      </w:pPr>
      <w:r w:rsidRPr="00D8419A">
        <w:rPr>
          <w:rFonts w:cs="Calibri"/>
        </w:rPr>
        <w:t xml:space="preserve">AABB – Association for the Advancement of Blood and Biotherapies </w:t>
      </w:r>
    </w:p>
    <w:p w14:paraId="5F54367C" w14:textId="77777777" w:rsidR="00053AFC" w:rsidRPr="00D8419A" w:rsidRDefault="00053AFC" w:rsidP="00E7089A">
      <w:pPr>
        <w:pStyle w:val="ListParagraph"/>
        <w:numPr>
          <w:ilvl w:val="0"/>
          <w:numId w:val="20"/>
        </w:numPr>
        <w:spacing w:after="0" w:line="278" w:lineRule="auto"/>
        <w:rPr>
          <w:rFonts w:cs="Calibri"/>
        </w:rPr>
      </w:pPr>
      <w:r w:rsidRPr="00D8419A">
        <w:rPr>
          <w:rFonts w:cs="Calibri"/>
        </w:rPr>
        <w:t>EMS – Emergency Medical Services</w:t>
      </w:r>
    </w:p>
    <w:p w14:paraId="3CBB2324" w14:textId="77777777" w:rsidR="00053AFC" w:rsidRPr="00D8419A" w:rsidRDefault="00053AFC" w:rsidP="00E7089A">
      <w:pPr>
        <w:pStyle w:val="ListParagraph"/>
        <w:numPr>
          <w:ilvl w:val="0"/>
          <w:numId w:val="20"/>
        </w:numPr>
        <w:spacing w:after="0" w:line="278" w:lineRule="auto"/>
        <w:rPr>
          <w:rFonts w:cs="Calibri"/>
        </w:rPr>
      </w:pPr>
      <w:r w:rsidRPr="00D8419A">
        <w:rPr>
          <w:rFonts w:cs="Calibri"/>
        </w:rPr>
        <w:t>LTOWB – Low Titer O + (positive) Whole Blood</w:t>
      </w:r>
    </w:p>
    <w:p w14:paraId="723FEBB9" w14:textId="0DE920F5" w:rsidR="00053AFC" w:rsidRPr="00D8419A" w:rsidRDefault="00E7089A" w:rsidP="00E7089A">
      <w:pPr>
        <w:pStyle w:val="ListParagraph"/>
        <w:numPr>
          <w:ilvl w:val="0"/>
          <w:numId w:val="20"/>
        </w:numPr>
        <w:spacing w:after="0" w:line="278" w:lineRule="auto"/>
        <w:rPr>
          <w:rFonts w:cs="Calibri"/>
        </w:rPr>
      </w:pPr>
      <w:r w:rsidRPr="00D8419A">
        <w:rPr>
          <w:rFonts w:cs="Calibri"/>
        </w:rPr>
        <w:t xml:space="preserve">MARCH – </w:t>
      </w:r>
      <w:r w:rsidR="00053AFC" w:rsidRPr="00D8419A">
        <w:rPr>
          <w:rFonts w:cs="Calibri"/>
        </w:rPr>
        <w:t>Massive Hemorrhage Control, Airway, Respirations, Circulation, Hypothermia</w:t>
      </w:r>
    </w:p>
    <w:p w14:paraId="19431BA2" w14:textId="77777777" w:rsidR="00053AFC" w:rsidRPr="00D8419A" w:rsidRDefault="00053AFC" w:rsidP="00E7089A">
      <w:pPr>
        <w:pStyle w:val="ListParagraph"/>
        <w:numPr>
          <w:ilvl w:val="0"/>
          <w:numId w:val="20"/>
        </w:numPr>
        <w:spacing w:after="0" w:line="278" w:lineRule="auto"/>
        <w:rPr>
          <w:rFonts w:cs="Calibri"/>
        </w:rPr>
      </w:pPr>
      <w:r w:rsidRPr="00D8419A">
        <w:rPr>
          <w:rFonts w:cs="Calibri"/>
        </w:rPr>
        <w:t>NASEMSO – National Association of State EMS Officials</w:t>
      </w:r>
    </w:p>
    <w:p w14:paraId="3E87E068" w14:textId="77777777" w:rsidR="00053AFC" w:rsidRPr="00D8419A" w:rsidRDefault="00053AFC" w:rsidP="00E7089A">
      <w:pPr>
        <w:pStyle w:val="ListParagraph"/>
        <w:numPr>
          <w:ilvl w:val="0"/>
          <w:numId w:val="20"/>
        </w:numPr>
        <w:spacing w:after="0" w:line="278" w:lineRule="auto"/>
        <w:rPr>
          <w:rFonts w:cs="Calibri"/>
        </w:rPr>
      </w:pPr>
      <w:r w:rsidRPr="00D8419A">
        <w:rPr>
          <w:rFonts w:cs="Calibri"/>
        </w:rPr>
        <w:t>PHBTC – Prehospital Blood Transfusion Coalition</w:t>
      </w:r>
    </w:p>
    <w:p w14:paraId="7DB8C55A" w14:textId="77777777" w:rsidR="00053AFC" w:rsidRPr="00C070B1" w:rsidRDefault="00053AFC" w:rsidP="00E7089A">
      <w:pPr>
        <w:pStyle w:val="ListParagraph"/>
        <w:numPr>
          <w:ilvl w:val="0"/>
          <w:numId w:val="20"/>
        </w:numPr>
        <w:spacing w:after="0" w:line="278" w:lineRule="auto"/>
        <w:rPr>
          <w:rFonts w:cs="Calibri"/>
        </w:rPr>
      </w:pPr>
      <w:r w:rsidRPr="00D8419A">
        <w:rPr>
          <w:rFonts w:cs="Calibri"/>
        </w:rPr>
        <w:t xml:space="preserve">SI – </w:t>
      </w:r>
      <w:proofErr w:type="spellStart"/>
      <w:r w:rsidRPr="00D8419A">
        <w:rPr>
          <w:rFonts w:cs="Calibri"/>
        </w:rPr>
        <w:t>Shock</w:t>
      </w:r>
      <w:proofErr w:type="spellEnd"/>
      <w:r w:rsidRPr="00D8419A">
        <w:rPr>
          <w:rFonts w:cs="Calibri"/>
        </w:rPr>
        <w:t xml:space="preserve"> Index</w:t>
      </w:r>
    </w:p>
    <w:p w14:paraId="50732361" w14:textId="77777777" w:rsidR="00E77E15" w:rsidRPr="00A01710" w:rsidRDefault="00E77E15"/>
    <w:p w14:paraId="44953088" w14:textId="2BCF222E" w:rsidR="0072793D" w:rsidRPr="00D8419A" w:rsidRDefault="00C070B1">
      <w:pPr>
        <w:rPr>
          <w:b/>
          <w:bCs/>
          <w:sz w:val="24"/>
          <w:szCs w:val="24"/>
        </w:rPr>
      </w:pPr>
      <w:r w:rsidRPr="00D8419A">
        <w:rPr>
          <w:b/>
          <w:bCs/>
          <w:sz w:val="24"/>
          <w:szCs w:val="24"/>
        </w:rPr>
        <w:t>References:</w:t>
      </w:r>
    </w:p>
    <w:p w14:paraId="7D3C97D3" w14:textId="17B82A4D" w:rsidR="00C070B1" w:rsidRPr="00C070B1" w:rsidRDefault="00C070B1" w:rsidP="00D8419A">
      <w:pPr>
        <w:pStyle w:val="ListParagraph"/>
        <w:numPr>
          <w:ilvl w:val="0"/>
          <w:numId w:val="22"/>
        </w:numPr>
        <w:rPr>
          <w:rFonts w:cs="Calibri"/>
        </w:rPr>
      </w:pPr>
      <w:proofErr w:type="spellStart"/>
      <w:r w:rsidRPr="00C070B1">
        <w:rPr>
          <w:rFonts w:cs="Calibri"/>
        </w:rPr>
        <w:t>PAMPer</w:t>
      </w:r>
      <w:proofErr w:type="spellEnd"/>
      <w:r w:rsidRPr="00C070B1">
        <w:rPr>
          <w:rFonts w:cs="Calibri"/>
        </w:rPr>
        <w:t>: Sperry JL, Brown JB, Frosch MP, et al. Prehospital Plasma during Air Medical Transport in Trauma Patients at Risk for Hemorrhagic Shock: A Randomized Clinical Trial. JAMA Surgery. 2018;320(17):1733–1740. doi:10.1001/jama.2018.4505</w:t>
      </w:r>
    </w:p>
    <w:p w14:paraId="7568CCD5" w14:textId="4AE8763A" w:rsidR="00C070B1" w:rsidRDefault="00C070B1">
      <w:pPr>
        <w:pStyle w:val="ListParagraph"/>
        <w:numPr>
          <w:ilvl w:val="0"/>
          <w:numId w:val="22"/>
        </w:numPr>
      </w:pPr>
      <w:r w:rsidRPr="00C070B1">
        <w:t>COMBAT: Sperry JL, Brown JB, Guyette FX, et al. Prehospital Plasma in Trauma Patients: A Randomized Clinical Trial. JAMA. 2018;320(11):1119–1128. doi:10.1001/jama.2018.14583</w:t>
      </w:r>
    </w:p>
    <w:p w14:paraId="613352E6" w14:textId="10A01326" w:rsidR="00C30881" w:rsidRDefault="00C30881">
      <w:pPr>
        <w:pStyle w:val="ListParagraph"/>
        <w:numPr>
          <w:ilvl w:val="0"/>
          <w:numId w:val="22"/>
        </w:numPr>
      </w:pPr>
      <w:r w:rsidRPr="0077602D">
        <w:t xml:space="preserve">Moore HB, Moore EE, Chapman MP, McVaney K, </w:t>
      </w:r>
      <w:proofErr w:type="spellStart"/>
      <w:r w:rsidRPr="0077602D">
        <w:t>Bryskiewicz</w:t>
      </w:r>
      <w:proofErr w:type="spellEnd"/>
      <w:r w:rsidRPr="0077602D">
        <w:t xml:space="preserve"> G, </w:t>
      </w:r>
      <w:proofErr w:type="spellStart"/>
      <w:r w:rsidRPr="0077602D">
        <w:t>Blechar</w:t>
      </w:r>
      <w:proofErr w:type="spellEnd"/>
      <w:r w:rsidRPr="0077602D">
        <w:t xml:space="preserve"> R, Chin T, Burlew CC, Pieracci F, West FB, Fleming CD, Ghasabyan A, Chandler J, Silliman CC, Banerjee A, </w:t>
      </w:r>
      <w:proofErr w:type="spellStart"/>
      <w:r w:rsidRPr="0077602D">
        <w:t>Sauaia</w:t>
      </w:r>
      <w:proofErr w:type="spellEnd"/>
      <w:r w:rsidRPr="0077602D">
        <w:t xml:space="preserve"> A. Plasma-first resuscitation to treat </w:t>
      </w:r>
      <w:proofErr w:type="spellStart"/>
      <w:r w:rsidRPr="0077602D">
        <w:t>haemorrhagic</w:t>
      </w:r>
      <w:proofErr w:type="spellEnd"/>
      <w:r w:rsidRPr="0077602D">
        <w:t xml:space="preserve"> shock during emergency ground transportation in an urban area: a </w:t>
      </w:r>
      <w:proofErr w:type="spellStart"/>
      <w:r w:rsidRPr="0077602D">
        <w:t>randomised</w:t>
      </w:r>
      <w:proofErr w:type="spellEnd"/>
      <w:r w:rsidRPr="0077602D">
        <w:t xml:space="preserve"> trial. Lancet. 2018 Jul 28;392(10144):283-291. </w:t>
      </w:r>
      <w:proofErr w:type="spellStart"/>
      <w:r w:rsidRPr="0077602D">
        <w:t>doi</w:t>
      </w:r>
      <w:proofErr w:type="spellEnd"/>
      <w:r w:rsidRPr="0077602D">
        <w:t xml:space="preserve">: 10.1016/S0140-6736(18)31553-8. </w:t>
      </w:r>
      <w:proofErr w:type="spellStart"/>
      <w:r w:rsidRPr="0077602D">
        <w:t>Epub</w:t>
      </w:r>
      <w:proofErr w:type="spellEnd"/>
      <w:r w:rsidRPr="0077602D">
        <w:t xml:space="preserve"> 2018 Jul 20. PMID: 30032977; PMCID: PMC6284829</w:t>
      </w:r>
    </w:p>
    <w:p w14:paraId="2241507A" w14:textId="77777777" w:rsidR="00C30881" w:rsidRPr="0077602D" w:rsidRDefault="00C30881" w:rsidP="00C30881">
      <w:pPr>
        <w:pStyle w:val="ListParagraph"/>
        <w:numPr>
          <w:ilvl w:val="0"/>
          <w:numId w:val="22"/>
        </w:numPr>
      </w:pPr>
      <w:r w:rsidRPr="0077602D">
        <w:t xml:space="preserve">Sperry JL, Guyette FX, Brown JB, </w:t>
      </w:r>
      <w:proofErr w:type="spellStart"/>
      <w:r w:rsidRPr="0077602D">
        <w:t>Yazer</w:t>
      </w:r>
      <w:proofErr w:type="spellEnd"/>
      <w:r w:rsidRPr="0077602D">
        <w:t xml:space="preserve"> MH, </w:t>
      </w:r>
      <w:proofErr w:type="spellStart"/>
      <w:r w:rsidRPr="0077602D">
        <w:t>Triulzi</w:t>
      </w:r>
      <w:proofErr w:type="spellEnd"/>
      <w:r w:rsidRPr="0077602D">
        <w:t xml:space="preserve"> DJ, Early-Young BJ, Adams PW, Daley BJ, Miller RS, Harbrecht BG, Claridge JA, Phelan HA, Witham WR, Putnam AT, Duane TM, Alarcon LH, Callaway CW, </w:t>
      </w:r>
      <w:proofErr w:type="spellStart"/>
      <w:r w:rsidRPr="0077602D">
        <w:t>Zuckerbraun</w:t>
      </w:r>
      <w:proofErr w:type="spellEnd"/>
      <w:r w:rsidRPr="0077602D">
        <w:t xml:space="preserve"> BS, Neal MD, Rosengart MR, Forsythe RM, Billiar TR, Yealy DM, Peitzman AB, Zenati MS; </w:t>
      </w:r>
      <w:proofErr w:type="spellStart"/>
      <w:r w:rsidRPr="0077602D">
        <w:t>PAMPer</w:t>
      </w:r>
      <w:proofErr w:type="spellEnd"/>
      <w:r w:rsidRPr="0077602D">
        <w:t xml:space="preserve"> Study Group. Prehospital Plasma during Air Medical Transport in Trauma Patients at Risk for Hemorrhagic Shock. N Engl J Med. 2018 Jul 26;379(4):315-326. </w:t>
      </w:r>
      <w:proofErr w:type="spellStart"/>
      <w:r w:rsidRPr="0077602D">
        <w:t>doi</w:t>
      </w:r>
      <w:proofErr w:type="spellEnd"/>
      <w:r w:rsidRPr="0077602D">
        <w:t>: 10.1056/NEJMoa1802345. PMID: 30044935.</w:t>
      </w:r>
    </w:p>
    <w:p w14:paraId="061A5EC6" w14:textId="77777777" w:rsidR="00C30881" w:rsidRPr="0077602D" w:rsidRDefault="00C30881" w:rsidP="00C30881">
      <w:pPr>
        <w:pStyle w:val="ListParagraph"/>
        <w:numPr>
          <w:ilvl w:val="0"/>
          <w:numId w:val="22"/>
        </w:numPr>
      </w:pPr>
      <w:r w:rsidRPr="0077602D">
        <w:t xml:space="preserve">Weymouth W, Long B, Koyfman A, Winckler C. Whole Blood in Trauma: A Review for Emergency Clinicians. J Emerg Med. 2019 May;56(5):491-498. </w:t>
      </w:r>
      <w:proofErr w:type="spellStart"/>
      <w:r w:rsidRPr="0077602D">
        <w:t>doi</w:t>
      </w:r>
      <w:proofErr w:type="spellEnd"/>
      <w:r w:rsidRPr="0077602D">
        <w:t xml:space="preserve">: 10.1016/j.jemermed.2019.01.024. </w:t>
      </w:r>
      <w:proofErr w:type="spellStart"/>
      <w:r w:rsidRPr="0077602D">
        <w:t>Epub</w:t>
      </w:r>
      <w:proofErr w:type="spellEnd"/>
      <w:r w:rsidRPr="0077602D">
        <w:t xml:space="preserve"> 2019 Mar 20. PMID: 30904380.</w:t>
      </w:r>
    </w:p>
    <w:p w14:paraId="559F4912" w14:textId="77777777" w:rsidR="00C30881" w:rsidRPr="0077602D" w:rsidRDefault="00C30881" w:rsidP="00C30881">
      <w:pPr>
        <w:pStyle w:val="ListParagraph"/>
        <w:numPr>
          <w:ilvl w:val="0"/>
          <w:numId w:val="22"/>
        </w:numPr>
      </w:pPr>
      <w:r w:rsidRPr="0077602D">
        <w:lastRenderedPageBreak/>
        <w:t xml:space="preserve">Zhu CS, Pokorny DM, Eastridge BJ, Nicholson SE, Epley E, Forcum J, Long T, Miramontes D, Schaefer R, Shiels M, Stewart RM, Stringfellow M, Summers R, Winckler CJ, Jenkins DH. Give the trauma patient what they bleed, when and where they need it: establishing a comprehensive regional system of resuscitation based on patient need utilizing cold-stored, low-titer O+ whole blood. Transfusion. 2019 Apr;59(S2):1429-1438. </w:t>
      </w:r>
      <w:proofErr w:type="spellStart"/>
      <w:r w:rsidRPr="0077602D">
        <w:t>doi</w:t>
      </w:r>
      <w:proofErr w:type="spellEnd"/>
      <w:r w:rsidRPr="0077602D">
        <w:t>: 10.1111/trf.15264. PMID: 30980748.</w:t>
      </w:r>
    </w:p>
    <w:p w14:paraId="25CA3A88" w14:textId="77777777" w:rsidR="00C30881" w:rsidRPr="0077602D" w:rsidRDefault="00C30881" w:rsidP="00C30881">
      <w:pPr>
        <w:pStyle w:val="ListParagraph"/>
        <w:numPr>
          <w:ilvl w:val="0"/>
          <w:numId w:val="22"/>
        </w:numPr>
      </w:pPr>
      <w:r w:rsidRPr="0077602D">
        <w:t xml:space="preserve">Mapp JG, Bank EA, Osborn LA, Stringfellow ML, Reininger DW, Winckler CJ; Prehospital Research and Innovation in Military and Expeditionary Environments (PRIME) Group. Epidemiological and Accounting Analysis of Ground Ambulance Whole Blood Transfusion. </w:t>
      </w:r>
      <w:proofErr w:type="spellStart"/>
      <w:r w:rsidRPr="0077602D">
        <w:t>Prehosp</w:t>
      </w:r>
      <w:proofErr w:type="spellEnd"/>
      <w:r w:rsidRPr="0077602D">
        <w:t xml:space="preserve"> Disaster Med. 2020 Feb;35(1):98-103. </w:t>
      </w:r>
      <w:proofErr w:type="spellStart"/>
      <w:r w:rsidRPr="0077602D">
        <w:t>doi</w:t>
      </w:r>
      <w:proofErr w:type="spellEnd"/>
      <w:r w:rsidRPr="0077602D">
        <w:t xml:space="preserve">: 10.1017/S1049023X1900517X. </w:t>
      </w:r>
      <w:proofErr w:type="spellStart"/>
      <w:r w:rsidRPr="0077602D">
        <w:t>Epub</w:t>
      </w:r>
      <w:proofErr w:type="spellEnd"/>
      <w:r w:rsidRPr="0077602D">
        <w:t xml:space="preserve"> 2019 Dec 18. PMID: 31847923.</w:t>
      </w:r>
    </w:p>
    <w:p w14:paraId="72062BFF" w14:textId="77777777" w:rsidR="00C30881" w:rsidRPr="0077602D" w:rsidRDefault="00C30881" w:rsidP="00C30881">
      <w:pPr>
        <w:pStyle w:val="ListParagraph"/>
        <w:numPr>
          <w:ilvl w:val="0"/>
          <w:numId w:val="22"/>
        </w:numPr>
      </w:pPr>
      <w:r w:rsidRPr="0077602D">
        <w:t xml:space="preserve">Braverman MA, Smith A, Pokorny D, Axtman B, Shahan CP, Barry L, Corral H, Jonas RB, Shiels M, Schaefer R, Epley E, Winckler C, Waltman E, Eastridge BJ, Nicholson SE, Stewart RM, Jenkins DH. Prehospital whole blood reduces early mortality in patients with hemorrhagic shock. Transfusion. 2021 Jul;61 Suppl </w:t>
      </w:r>
      <w:proofErr w:type="gramStart"/>
      <w:r w:rsidRPr="0077602D">
        <w:t>1:S</w:t>
      </w:r>
      <w:proofErr w:type="gramEnd"/>
      <w:r w:rsidRPr="0077602D">
        <w:t xml:space="preserve">15-S21. </w:t>
      </w:r>
      <w:proofErr w:type="spellStart"/>
      <w:r w:rsidRPr="0077602D">
        <w:t>doi</w:t>
      </w:r>
      <w:proofErr w:type="spellEnd"/>
      <w:r w:rsidRPr="0077602D">
        <w:t>: 10.1111/trf.16528. PMID: 34269467.</w:t>
      </w:r>
    </w:p>
    <w:p w14:paraId="29305063" w14:textId="77777777" w:rsidR="00C30881" w:rsidRPr="0077602D" w:rsidRDefault="00C30881" w:rsidP="00C30881">
      <w:pPr>
        <w:pStyle w:val="ListParagraph"/>
        <w:numPr>
          <w:ilvl w:val="0"/>
          <w:numId w:val="22"/>
        </w:numPr>
      </w:pPr>
      <w:proofErr w:type="spellStart"/>
      <w:r w:rsidRPr="0077602D">
        <w:t>Yazer</w:t>
      </w:r>
      <w:proofErr w:type="spellEnd"/>
      <w:r w:rsidRPr="0077602D">
        <w:t xml:space="preserve"> MH, Spinella PC, Bank EA, Cannon JW, Dunbar NM, Holcomb JB, Jackson BP, Jenkins D, Levy M, Pepe PE, Sperry JL, Stubbs JR, Winckler CJ. THOR-AABB Working Party Recommendations for a Prehospital Blood Product Transfusion Program. </w:t>
      </w:r>
      <w:proofErr w:type="spellStart"/>
      <w:r w:rsidRPr="0077602D">
        <w:t>Prehosp</w:t>
      </w:r>
      <w:proofErr w:type="spellEnd"/>
      <w:r w:rsidRPr="0077602D">
        <w:t xml:space="preserve"> Emerg Care. 2022 Nov-Dec;26(6):863-875. </w:t>
      </w:r>
      <w:proofErr w:type="spellStart"/>
      <w:r w:rsidRPr="0077602D">
        <w:t>doi</w:t>
      </w:r>
      <w:proofErr w:type="spellEnd"/>
      <w:r w:rsidRPr="0077602D">
        <w:t xml:space="preserve">: 10.1080/10903127.2021.1995089. </w:t>
      </w:r>
      <w:proofErr w:type="spellStart"/>
      <w:r w:rsidRPr="0077602D">
        <w:t>Epub</w:t>
      </w:r>
      <w:proofErr w:type="spellEnd"/>
      <w:r w:rsidRPr="0077602D">
        <w:t xml:space="preserve"> 2021 Nov 19. PMID: 34669564.</w:t>
      </w:r>
    </w:p>
    <w:p w14:paraId="7437F3D8" w14:textId="77777777" w:rsidR="00C30881" w:rsidRDefault="00C30881" w:rsidP="00C30881">
      <w:pPr>
        <w:pStyle w:val="ListParagraph"/>
        <w:numPr>
          <w:ilvl w:val="0"/>
          <w:numId w:val="22"/>
        </w:numPr>
      </w:pPr>
      <w:r w:rsidRPr="00941272">
        <w:t xml:space="preserve">Morgan KM, Abou-Khalil E, </w:t>
      </w:r>
      <w:proofErr w:type="spellStart"/>
      <w:r w:rsidRPr="00941272">
        <w:t>Strotmeyer</w:t>
      </w:r>
      <w:proofErr w:type="spellEnd"/>
      <w:r w:rsidRPr="00941272">
        <w:t xml:space="preserve"> S, Richardson WM, Gaines BA, Leeper CM. Association of Prehospital Transfusion </w:t>
      </w:r>
      <w:proofErr w:type="gramStart"/>
      <w:r w:rsidRPr="00941272">
        <w:t>With</w:t>
      </w:r>
      <w:proofErr w:type="gramEnd"/>
      <w:r w:rsidRPr="00941272">
        <w:t xml:space="preserve"> Mortality in Pediatric Trauma. JAMA </w:t>
      </w:r>
      <w:proofErr w:type="spellStart"/>
      <w:r w:rsidRPr="00941272">
        <w:t>Pediatr</w:t>
      </w:r>
      <w:proofErr w:type="spellEnd"/>
      <w:r w:rsidRPr="00941272">
        <w:t xml:space="preserve">. 2023 Jul 1;177(7):693-699. </w:t>
      </w:r>
      <w:proofErr w:type="spellStart"/>
      <w:r w:rsidRPr="00941272">
        <w:t>doi</w:t>
      </w:r>
      <w:proofErr w:type="spellEnd"/>
      <w:r w:rsidRPr="00941272">
        <w:t>: 10.1001/jamapediatrics.2023.1291. PMID: 37213096; PMCID: PMC10203962.</w:t>
      </w:r>
    </w:p>
    <w:p w14:paraId="1ECFB41B" w14:textId="77777777" w:rsidR="00C30881" w:rsidRPr="0077602D" w:rsidRDefault="00C30881" w:rsidP="00C30881">
      <w:pPr>
        <w:pStyle w:val="ListParagraph"/>
        <w:numPr>
          <w:ilvl w:val="0"/>
          <w:numId w:val="22"/>
        </w:numPr>
      </w:pPr>
      <w:r w:rsidRPr="0077602D">
        <w:t xml:space="preserve">Braverman MA, Schauer SG, </w:t>
      </w:r>
      <w:proofErr w:type="spellStart"/>
      <w:r w:rsidRPr="0077602D">
        <w:t>Ciaraglia</w:t>
      </w:r>
      <w:proofErr w:type="spellEnd"/>
      <w:r w:rsidRPr="0077602D">
        <w:t xml:space="preserve"> A, Brigmon E, Smith AA, Barry L, Bynum J, Cap AD, Corral H, Fisher AD, Epley E, Jonas RB, Shiels M, Waltman E, Winckler C, Eastridge BJ, Stewart RM, Nicholson SE, Jenkins DH. The impact of prehospital whole blood on hemorrhaging trauma patients: A multi-center retrospective study. J Trauma Acute Care Surg. 2023 Aug 1;95(2):191-196. </w:t>
      </w:r>
      <w:proofErr w:type="spellStart"/>
      <w:r w:rsidRPr="0077602D">
        <w:t>doi</w:t>
      </w:r>
      <w:proofErr w:type="spellEnd"/>
      <w:r w:rsidRPr="0077602D">
        <w:t xml:space="preserve">: 10.1097/TA.0000000000003908. </w:t>
      </w:r>
      <w:proofErr w:type="spellStart"/>
      <w:r w:rsidRPr="0077602D">
        <w:t>Epub</w:t>
      </w:r>
      <w:proofErr w:type="spellEnd"/>
      <w:r w:rsidRPr="0077602D">
        <w:t xml:space="preserve"> 2023 Apr 4. PMID: 37012617.</w:t>
      </w:r>
    </w:p>
    <w:p w14:paraId="4F62B3A2" w14:textId="77777777" w:rsidR="00C30881" w:rsidRDefault="00C30881" w:rsidP="00C30881">
      <w:pPr>
        <w:pStyle w:val="ListParagraph"/>
        <w:numPr>
          <w:ilvl w:val="0"/>
          <w:numId w:val="22"/>
        </w:numPr>
      </w:pPr>
      <w:r w:rsidRPr="0064440C">
        <w:t xml:space="preserve">Ferguson LB, Bullock W, Rayas EG, Kruse MA, Dieterle M, Wampler D, Winckler CCJ. Paramedic triggers for transfusion of prehospital whole blood. Am J Emerg Med. 2024 </w:t>
      </w:r>
      <w:proofErr w:type="gramStart"/>
      <w:r w:rsidRPr="0064440C">
        <w:t>Apr;78:237</w:t>
      </w:r>
      <w:proofErr w:type="gramEnd"/>
      <w:r w:rsidRPr="0064440C">
        <w:t xml:space="preserve">-240. </w:t>
      </w:r>
      <w:proofErr w:type="spellStart"/>
      <w:r w:rsidRPr="0064440C">
        <w:t>doi</w:t>
      </w:r>
      <w:proofErr w:type="spellEnd"/>
      <w:r w:rsidRPr="0064440C">
        <w:t xml:space="preserve">: 10.1016/j.ajem.2024.01.020. </w:t>
      </w:r>
      <w:proofErr w:type="spellStart"/>
      <w:r w:rsidRPr="0064440C">
        <w:t>Epub</w:t>
      </w:r>
      <w:proofErr w:type="spellEnd"/>
      <w:r w:rsidRPr="0064440C">
        <w:t xml:space="preserve"> 2024 Jan 24. PMID: 38336592.</w:t>
      </w:r>
    </w:p>
    <w:p w14:paraId="060C4FCE" w14:textId="77777777" w:rsidR="00C30881" w:rsidRDefault="00C30881" w:rsidP="00C30881">
      <w:pPr>
        <w:pStyle w:val="ListParagraph"/>
        <w:numPr>
          <w:ilvl w:val="0"/>
          <w:numId w:val="22"/>
        </w:numPr>
      </w:pPr>
      <w:r w:rsidRPr="00676345">
        <w:t>Levy MJ, Schaefer RM, Obyrne H, Krohmer JR, Bank EA, Holcomb JB. Prehospital blood transfusion coalition clinical practice guideline for civilian emergency medical services. </w:t>
      </w:r>
      <w:r w:rsidRPr="00C30881">
        <w:rPr>
          <w:i/>
          <w:iCs/>
        </w:rPr>
        <w:t>Trauma Surgery &amp; Acute Care Open</w:t>
      </w:r>
      <w:r w:rsidRPr="00676345">
        <w:t>. 2025;</w:t>
      </w:r>
      <w:proofErr w:type="gramStart"/>
      <w:r w:rsidRPr="00676345">
        <w:t>10:e</w:t>
      </w:r>
      <w:proofErr w:type="gramEnd"/>
      <w:r w:rsidRPr="00676345">
        <w:t>001931. https://doi.org/10.1136/tsaco-2025-001931</w:t>
      </w:r>
    </w:p>
    <w:p w14:paraId="60EC4CDC" w14:textId="17D68CC6" w:rsidR="00C30881" w:rsidRPr="00D8419A" w:rsidRDefault="00C30881" w:rsidP="00D8419A">
      <w:pPr>
        <w:pStyle w:val="ListParagraph"/>
        <w:numPr>
          <w:ilvl w:val="0"/>
          <w:numId w:val="22"/>
        </w:numPr>
      </w:pPr>
      <w:r w:rsidRPr="00133A14">
        <w:t xml:space="preserve">Rajesh A, Barry L, Giersch C, Danko KL, Bowers A, Braverman M, Epley E, Rose T, Whole Blood Consortium SA, Bryan Cotton, Eastridge B, Jenkins D. Prehospital whole blood transfusion improves probability of survival over transfusion within one hour of arrival to a trauma center. Am J Surg. 2025 </w:t>
      </w:r>
      <w:proofErr w:type="gramStart"/>
      <w:r w:rsidRPr="00133A14">
        <w:t>Dec;250:116530</w:t>
      </w:r>
      <w:proofErr w:type="gramEnd"/>
      <w:r w:rsidRPr="00133A14">
        <w:t xml:space="preserve">. </w:t>
      </w:r>
      <w:proofErr w:type="spellStart"/>
      <w:r w:rsidRPr="00133A14">
        <w:t>doi</w:t>
      </w:r>
      <w:proofErr w:type="spellEnd"/>
      <w:r w:rsidRPr="00133A14">
        <w:t xml:space="preserve">: 10.1016/j.amjsurg.2025.116530. </w:t>
      </w:r>
      <w:proofErr w:type="spellStart"/>
      <w:r w:rsidRPr="00133A14">
        <w:t>Epub</w:t>
      </w:r>
      <w:proofErr w:type="spellEnd"/>
      <w:r w:rsidRPr="00133A14">
        <w:t xml:space="preserve"> 2025 Jul 17. PMID: 40714718.</w:t>
      </w:r>
    </w:p>
    <w:sectPr w:rsidR="00C30881" w:rsidRPr="00D8419A" w:rsidSect="00F54FEF">
      <w:head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9166" w14:textId="77777777" w:rsidR="00D86DF7" w:rsidRDefault="00D86DF7" w:rsidP="00C7666D">
      <w:pPr>
        <w:spacing w:after="0" w:line="240" w:lineRule="auto"/>
      </w:pPr>
      <w:r>
        <w:separator/>
      </w:r>
    </w:p>
  </w:endnote>
  <w:endnote w:type="continuationSeparator" w:id="0">
    <w:p w14:paraId="65F42023" w14:textId="77777777" w:rsidR="00D86DF7" w:rsidRDefault="00D86DF7" w:rsidP="00C7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5978" w14:textId="77777777" w:rsidR="00D86DF7" w:rsidRDefault="00D86DF7" w:rsidP="00C7666D">
      <w:pPr>
        <w:spacing w:after="0" w:line="240" w:lineRule="auto"/>
      </w:pPr>
      <w:r>
        <w:separator/>
      </w:r>
    </w:p>
  </w:footnote>
  <w:footnote w:type="continuationSeparator" w:id="0">
    <w:p w14:paraId="4BB4A498" w14:textId="77777777" w:rsidR="00D86DF7" w:rsidRDefault="00D86DF7" w:rsidP="00C76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CBC2" w14:textId="72B067C7" w:rsidR="00C7666D" w:rsidRPr="00314899" w:rsidRDefault="00314899">
    <w:pPr>
      <w:pStyle w:val="Header"/>
      <w:rPr>
        <w:i/>
        <w:iCs/>
        <w:color w:val="C00000"/>
      </w:rPr>
    </w:pPr>
    <w:r w:rsidRPr="00314899">
      <w:rPr>
        <w:i/>
        <w:iCs/>
        <w:color w:val="C00000"/>
      </w:rPr>
      <w:t xml:space="preserve">Document for </w:t>
    </w:r>
    <w:r w:rsidR="006157D7">
      <w:rPr>
        <w:i/>
        <w:iCs/>
        <w:color w:val="C00000"/>
      </w:rPr>
      <w:t xml:space="preserve">Review </w:t>
    </w:r>
    <w:r w:rsidR="00A95126">
      <w:rPr>
        <w:i/>
        <w:iCs/>
        <w:color w:val="C00000"/>
      </w:rPr>
      <w:t>v3</w:t>
    </w:r>
    <w:r w:rsidR="006157D7">
      <w:rPr>
        <w:i/>
        <w:iCs/>
        <w:color w:val="C00000"/>
      </w:rPr>
      <w:t xml:space="preserve"> </w:t>
    </w:r>
    <w:r w:rsidRPr="00314899">
      <w:rPr>
        <w:i/>
        <w:iCs/>
        <w:color w:val="C00000"/>
      </w:rPr>
      <w:t>(2025.</w:t>
    </w:r>
    <w:r w:rsidR="00781DBA">
      <w:rPr>
        <w:i/>
        <w:iCs/>
        <w:color w:val="C00000"/>
      </w:rPr>
      <w:t>12.01</w:t>
    </w:r>
    <w:r w:rsidRPr="00314899">
      <w:rPr>
        <w:i/>
        <w:iCs/>
        <w:color w:val="C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64D2"/>
    <w:multiLevelType w:val="hybridMultilevel"/>
    <w:tmpl w:val="306E6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C94FDA"/>
    <w:multiLevelType w:val="hybridMultilevel"/>
    <w:tmpl w:val="77DA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E025A"/>
    <w:multiLevelType w:val="hybridMultilevel"/>
    <w:tmpl w:val="9E76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1516E"/>
    <w:multiLevelType w:val="hybridMultilevel"/>
    <w:tmpl w:val="FCF28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26C88"/>
    <w:multiLevelType w:val="hybridMultilevel"/>
    <w:tmpl w:val="C65A19C0"/>
    <w:lvl w:ilvl="0" w:tplc="D96EFF7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3238A"/>
    <w:multiLevelType w:val="hybridMultilevel"/>
    <w:tmpl w:val="7F869A5C"/>
    <w:lvl w:ilvl="0" w:tplc="82380686">
      <w:numFmt w:val="bullet"/>
      <w:lvlText w:val="•"/>
      <w:lvlJc w:val="left"/>
      <w:pPr>
        <w:ind w:left="1080" w:hanging="360"/>
      </w:pPr>
      <w:rPr>
        <w:rFonts w:ascii="Aptos" w:eastAsiaTheme="minorHAnsi" w:hAnsi="Aptos"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8042CE"/>
    <w:multiLevelType w:val="hybridMultilevel"/>
    <w:tmpl w:val="4CE0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6349A"/>
    <w:multiLevelType w:val="hybridMultilevel"/>
    <w:tmpl w:val="82FA0F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B7BF9"/>
    <w:multiLevelType w:val="hybridMultilevel"/>
    <w:tmpl w:val="C73C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BF321B"/>
    <w:multiLevelType w:val="hybridMultilevel"/>
    <w:tmpl w:val="E4F05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2D4DED"/>
    <w:multiLevelType w:val="multilevel"/>
    <w:tmpl w:val="71DC5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06735"/>
    <w:multiLevelType w:val="hybridMultilevel"/>
    <w:tmpl w:val="3B4AFC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08C4C96"/>
    <w:multiLevelType w:val="hybridMultilevel"/>
    <w:tmpl w:val="CA70BD7A"/>
    <w:lvl w:ilvl="0" w:tplc="D96EFF7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2C4633"/>
    <w:multiLevelType w:val="hybridMultilevel"/>
    <w:tmpl w:val="A2F29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CF56B7"/>
    <w:multiLevelType w:val="hybridMultilevel"/>
    <w:tmpl w:val="622A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59B"/>
    <w:multiLevelType w:val="hybridMultilevel"/>
    <w:tmpl w:val="BB8C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44361"/>
    <w:multiLevelType w:val="hybridMultilevel"/>
    <w:tmpl w:val="5B343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59179B"/>
    <w:multiLevelType w:val="hybridMultilevel"/>
    <w:tmpl w:val="175A4B4A"/>
    <w:lvl w:ilvl="0" w:tplc="AFB2E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A2725"/>
    <w:multiLevelType w:val="hybridMultilevel"/>
    <w:tmpl w:val="458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561BD"/>
    <w:multiLevelType w:val="hybridMultilevel"/>
    <w:tmpl w:val="DC70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C1B6C"/>
    <w:multiLevelType w:val="hybridMultilevel"/>
    <w:tmpl w:val="FDC2BDE6"/>
    <w:lvl w:ilvl="0" w:tplc="D96EFF7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A953D4"/>
    <w:multiLevelType w:val="hybridMultilevel"/>
    <w:tmpl w:val="76E0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317150">
    <w:abstractNumId w:val="1"/>
  </w:num>
  <w:num w:numId="2" w16cid:durableId="1014186803">
    <w:abstractNumId w:val="8"/>
  </w:num>
  <w:num w:numId="3" w16cid:durableId="1244023197">
    <w:abstractNumId w:val="16"/>
  </w:num>
  <w:num w:numId="4" w16cid:durableId="30109307">
    <w:abstractNumId w:val="9"/>
  </w:num>
  <w:num w:numId="5" w16cid:durableId="296104225">
    <w:abstractNumId w:val="20"/>
  </w:num>
  <w:num w:numId="6" w16cid:durableId="288978139">
    <w:abstractNumId w:val="13"/>
  </w:num>
  <w:num w:numId="7" w16cid:durableId="782768614">
    <w:abstractNumId w:val="5"/>
  </w:num>
  <w:num w:numId="8" w16cid:durableId="834108831">
    <w:abstractNumId w:val="10"/>
  </w:num>
  <w:num w:numId="9" w16cid:durableId="2041972890">
    <w:abstractNumId w:val="7"/>
  </w:num>
  <w:num w:numId="10" w16cid:durableId="1681003330">
    <w:abstractNumId w:val="19"/>
  </w:num>
  <w:num w:numId="11" w16cid:durableId="1274508678">
    <w:abstractNumId w:val="15"/>
  </w:num>
  <w:num w:numId="12" w16cid:durableId="597762900">
    <w:abstractNumId w:val="2"/>
  </w:num>
  <w:num w:numId="13" w16cid:durableId="44911394">
    <w:abstractNumId w:val="0"/>
  </w:num>
  <w:num w:numId="14" w16cid:durableId="399789062">
    <w:abstractNumId w:val="12"/>
  </w:num>
  <w:num w:numId="15" w16cid:durableId="1550872393">
    <w:abstractNumId w:val="4"/>
  </w:num>
  <w:num w:numId="16" w16cid:durableId="2054036899">
    <w:abstractNumId w:val="3"/>
  </w:num>
  <w:num w:numId="17" w16cid:durableId="1145010565">
    <w:abstractNumId w:val="11"/>
  </w:num>
  <w:num w:numId="18" w16cid:durableId="1200164173">
    <w:abstractNumId w:val="18"/>
  </w:num>
  <w:num w:numId="19" w16cid:durableId="1575621033">
    <w:abstractNumId w:val="6"/>
  </w:num>
  <w:num w:numId="20" w16cid:durableId="1078946571">
    <w:abstractNumId w:val="14"/>
  </w:num>
  <w:num w:numId="21" w16cid:durableId="589583058">
    <w:abstractNumId w:val="21"/>
  </w:num>
  <w:num w:numId="22" w16cid:durableId="1434789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92"/>
    <w:rsid w:val="000211B1"/>
    <w:rsid w:val="00031794"/>
    <w:rsid w:val="00053AFC"/>
    <w:rsid w:val="0008156C"/>
    <w:rsid w:val="001303C3"/>
    <w:rsid w:val="00202152"/>
    <w:rsid w:val="002237E0"/>
    <w:rsid w:val="00231B82"/>
    <w:rsid w:val="00297F42"/>
    <w:rsid w:val="002F0DC0"/>
    <w:rsid w:val="00314899"/>
    <w:rsid w:val="0032722A"/>
    <w:rsid w:val="0038155F"/>
    <w:rsid w:val="003A62B7"/>
    <w:rsid w:val="003D28A5"/>
    <w:rsid w:val="003E69CF"/>
    <w:rsid w:val="00413F7B"/>
    <w:rsid w:val="004412BC"/>
    <w:rsid w:val="00453032"/>
    <w:rsid w:val="00476C90"/>
    <w:rsid w:val="004A3293"/>
    <w:rsid w:val="004A6E94"/>
    <w:rsid w:val="004C6C38"/>
    <w:rsid w:val="004D7454"/>
    <w:rsid w:val="0054315C"/>
    <w:rsid w:val="005A5456"/>
    <w:rsid w:val="00607227"/>
    <w:rsid w:val="0061091E"/>
    <w:rsid w:val="006157D7"/>
    <w:rsid w:val="00664763"/>
    <w:rsid w:val="00674F6A"/>
    <w:rsid w:val="006921B9"/>
    <w:rsid w:val="006B37A1"/>
    <w:rsid w:val="006B395B"/>
    <w:rsid w:val="006F45C3"/>
    <w:rsid w:val="007059A3"/>
    <w:rsid w:val="00722DD7"/>
    <w:rsid w:val="00724DFD"/>
    <w:rsid w:val="0072793D"/>
    <w:rsid w:val="00781DBA"/>
    <w:rsid w:val="007A4197"/>
    <w:rsid w:val="008007F8"/>
    <w:rsid w:val="00874629"/>
    <w:rsid w:val="008871F7"/>
    <w:rsid w:val="008929F5"/>
    <w:rsid w:val="00896BF3"/>
    <w:rsid w:val="008A5AAE"/>
    <w:rsid w:val="008B1CCE"/>
    <w:rsid w:val="008B2F1E"/>
    <w:rsid w:val="008D4533"/>
    <w:rsid w:val="008F04FD"/>
    <w:rsid w:val="00911A63"/>
    <w:rsid w:val="00917FFC"/>
    <w:rsid w:val="00920A8E"/>
    <w:rsid w:val="009274F3"/>
    <w:rsid w:val="0093778F"/>
    <w:rsid w:val="00940148"/>
    <w:rsid w:val="00940F66"/>
    <w:rsid w:val="00987281"/>
    <w:rsid w:val="009B2B61"/>
    <w:rsid w:val="009E0144"/>
    <w:rsid w:val="009F065C"/>
    <w:rsid w:val="00A01710"/>
    <w:rsid w:val="00A16898"/>
    <w:rsid w:val="00A22D5B"/>
    <w:rsid w:val="00A250C8"/>
    <w:rsid w:val="00A36160"/>
    <w:rsid w:val="00A42059"/>
    <w:rsid w:val="00A604A0"/>
    <w:rsid w:val="00A95093"/>
    <w:rsid w:val="00A95126"/>
    <w:rsid w:val="00AE1D22"/>
    <w:rsid w:val="00AF1B2A"/>
    <w:rsid w:val="00AF7CFD"/>
    <w:rsid w:val="00B13BE7"/>
    <w:rsid w:val="00B30621"/>
    <w:rsid w:val="00BD6018"/>
    <w:rsid w:val="00BF7D77"/>
    <w:rsid w:val="00C070B1"/>
    <w:rsid w:val="00C17E8F"/>
    <w:rsid w:val="00C30123"/>
    <w:rsid w:val="00C30881"/>
    <w:rsid w:val="00C758C7"/>
    <w:rsid w:val="00C7666D"/>
    <w:rsid w:val="00CB130F"/>
    <w:rsid w:val="00D27D21"/>
    <w:rsid w:val="00D8419A"/>
    <w:rsid w:val="00D86DF7"/>
    <w:rsid w:val="00DB2592"/>
    <w:rsid w:val="00DD638B"/>
    <w:rsid w:val="00DE0751"/>
    <w:rsid w:val="00DE5448"/>
    <w:rsid w:val="00DE78DD"/>
    <w:rsid w:val="00DF30FE"/>
    <w:rsid w:val="00E53732"/>
    <w:rsid w:val="00E7089A"/>
    <w:rsid w:val="00E753D2"/>
    <w:rsid w:val="00E77E15"/>
    <w:rsid w:val="00ED001E"/>
    <w:rsid w:val="00EE2126"/>
    <w:rsid w:val="00F02034"/>
    <w:rsid w:val="00F153D4"/>
    <w:rsid w:val="00F3330A"/>
    <w:rsid w:val="00F54FEF"/>
    <w:rsid w:val="00F625CF"/>
    <w:rsid w:val="00F761DF"/>
    <w:rsid w:val="00F769DC"/>
    <w:rsid w:val="00F83E10"/>
    <w:rsid w:val="00F86A16"/>
    <w:rsid w:val="00F86A35"/>
    <w:rsid w:val="00FB25F7"/>
    <w:rsid w:val="00FC095F"/>
    <w:rsid w:val="00FF1287"/>
    <w:rsid w:val="00FF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3EF4"/>
  <w15:chartTrackingRefBased/>
  <w15:docId w15:val="{19EC6D35-199A-4E21-9F58-02D3BC2F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9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2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592"/>
    <w:rPr>
      <w:rFonts w:eastAsiaTheme="majorEastAsia" w:cstheme="majorBidi"/>
      <w:color w:val="272727" w:themeColor="text1" w:themeTint="D8"/>
    </w:rPr>
  </w:style>
  <w:style w:type="paragraph" w:styleId="Title">
    <w:name w:val="Title"/>
    <w:basedOn w:val="Normal"/>
    <w:next w:val="Normal"/>
    <w:link w:val="TitleChar"/>
    <w:uiPriority w:val="10"/>
    <w:qFormat/>
    <w:rsid w:val="00DB2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592"/>
    <w:pPr>
      <w:spacing w:before="160"/>
      <w:jc w:val="center"/>
    </w:pPr>
    <w:rPr>
      <w:i/>
      <w:iCs/>
      <w:color w:val="404040" w:themeColor="text1" w:themeTint="BF"/>
    </w:rPr>
  </w:style>
  <w:style w:type="character" w:customStyle="1" w:styleId="QuoteChar">
    <w:name w:val="Quote Char"/>
    <w:basedOn w:val="DefaultParagraphFont"/>
    <w:link w:val="Quote"/>
    <w:uiPriority w:val="29"/>
    <w:rsid w:val="00DB2592"/>
    <w:rPr>
      <w:i/>
      <w:iCs/>
      <w:color w:val="404040" w:themeColor="text1" w:themeTint="BF"/>
    </w:rPr>
  </w:style>
  <w:style w:type="paragraph" w:styleId="ListParagraph">
    <w:name w:val="List Paragraph"/>
    <w:basedOn w:val="Normal"/>
    <w:uiPriority w:val="34"/>
    <w:qFormat/>
    <w:rsid w:val="00DB2592"/>
    <w:pPr>
      <w:ind w:left="720"/>
      <w:contextualSpacing/>
    </w:pPr>
  </w:style>
  <w:style w:type="character" w:styleId="IntenseEmphasis">
    <w:name w:val="Intense Emphasis"/>
    <w:basedOn w:val="DefaultParagraphFont"/>
    <w:uiPriority w:val="21"/>
    <w:qFormat/>
    <w:rsid w:val="00DB2592"/>
    <w:rPr>
      <w:i/>
      <w:iCs/>
      <w:color w:val="0F4761" w:themeColor="accent1" w:themeShade="BF"/>
    </w:rPr>
  </w:style>
  <w:style w:type="paragraph" w:styleId="IntenseQuote">
    <w:name w:val="Intense Quote"/>
    <w:basedOn w:val="Normal"/>
    <w:next w:val="Normal"/>
    <w:link w:val="IntenseQuoteChar"/>
    <w:uiPriority w:val="30"/>
    <w:qFormat/>
    <w:rsid w:val="00DB2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592"/>
    <w:rPr>
      <w:i/>
      <w:iCs/>
      <w:color w:val="0F4761" w:themeColor="accent1" w:themeShade="BF"/>
    </w:rPr>
  </w:style>
  <w:style w:type="character" w:styleId="IntenseReference">
    <w:name w:val="Intense Reference"/>
    <w:basedOn w:val="DefaultParagraphFont"/>
    <w:uiPriority w:val="32"/>
    <w:qFormat/>
    <w:rsid w:val="00DB2592"/>
    <w:rPr>
      <w:b/>
      <w:bCs/>
      <w:smallCaps/>
      <w:color w:val="0F4761" w:themeColor="accent1" w:themeShade="BF"/>
      <w:spacing w:val="5"/>
    </w:rPr>
  </w:style>
  <w:style w:type="character" w:styleId="LineNumber">
    <w:name w:val="line number"/>
    <w:basedOn w:val="DefaultParagraphFont"/>
    <w:uiPriority w:val="99"/>
    <w:semiHidden/>
    <w:unhideWhenUsed/>
    <w:rsid w:val="00231B82"/>
  </w:style>
  <w:style w:type="paragraph" w:styleId="Revision">
    <w:name w:val="Revision"/>
    <w:hidden/>
    <w:uiPriority w:val="99"/>
    <w:semiHidden/>
    <w:rsid w:val="004412BC"/>
    <w:pPr>
      <w:spacing w:after="0" w:line="240" w:lineRule="auto"/>
    </w:pPr>
    <w:rPr>
      <w:kern w:val="0"/>
      <w:sz w:val="22"/>
      <w:szCs w:val="22"/>
      <w14:ligatures w14:val="none"/>
    </w:rPr>
  </w:style>
  <w:style w:type="paragraph" w:styleId="Header">
    <w:name w:val="header"/>
    <w:basedOn w:val="Normal"/>
    <w:link w:val="HeaderChar"/>
    <w:uiPriority w:val="99"/>
    <w:unhideWhenUsed/>
    <w:rsid w:val="00C76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6D"/>
    <w:rPr>
      <w:kern w:val="0"/>
      <w:sz w:val="22"/>
      <w:szCs w:val="22"/>
      <w14:ligatures w14:val="none"/>
    </w:rPr>
  </w:style>
  <w:style w:type="paragraph" w:styleId="Footer">
    <w:name w:val="footer"/>
    <w:basedOn w:val="Normal"/>
    <w:link w:val="FooterChar"/>
    <w:uiPriority w:val="99"/>
    <w:unhideWhenUsed/>
    <w:rsid w:val="00C76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6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5528">
      <w:bodyDiv w:val="1"/>
      <w:marLeft w:val="0"/>
      <w:marRight w:val="0"/>
      <w:marTop w:val="0"/>
      <w:marBottom w:val="0"/>
      <w:divBdr>
        <w:top w:val="none" w:sz="0" w:space="0" w:color="auto"/>
        <w:left w:val="none" w:sz="0" w:space="0" w:color="auto"/>
        <w:bottom w:val="none" w:sz="0" w:space="0" w:color="auto"/>
        <w:right w:val="none" w:sz="0" w:space="0" w:color="auto"/>
      </w:divBdr>
    </w:div>
    <w:div w:id="165022518">
      <w:bodyDiv w:val="1"/>
      <w:marLeft w:val="0"/>
      <w:marRight w:val="0"/>
      <w:marTop w:val="0"/>
      <w:marBottom w:val="0"/>
      <w:divBdr>
        <w:top w:val="none" w:sz="0" w:space="0" w:color="auto"/>
        <w:left w:val="none" w:sz="0" w:space="0" w:color="auto"/>
        <w:bottom w:val="none" w:sz="0" w:space="0" w:color="auto"/>
        <w:right w:val="none" w:sz="0" w:space="0" w:color="auto"/>
      </w:divBdr>
    </w:div>
    <w:div w:id="237986888">
      <w:bodyDiv w:val="1"/>
      <w:marLeft w:val="0"/>
      <w:marRight w:val="0"/>
      <w:marTop w:val="0"/>
      <w:marBottom w:val="0"/>
      <w:divBdr>
        <w:top w:val="none" w:sz="0" w:space="0" w:color="auto"/>
        <w:left w:val="none" w:sz="0" w:space="0" w:color="auto"/>
        <w:bottom w:val="none" w:sz="0" w:space="0" w:color="auto"/>
        <w:right w:val="none" w:sz="0" w:space="0" w:color="auto"/>
      </w:divBdr>
    </w:div>
    <w:div w:id="839391477">
      <w:bodyDiv w:val="1"/>
      <w:marLeft w:val="0"/>
      <w:marRight w:val="0"/>
      <w:marTop w:val="0"/>
      <w:marBottom w:val="0"/>
      <w:divBdr>
        <w:top w:val="none" w:sz="0" w:space="0" w:color="auto"/>
        <w:left w:val="none" w:sz="0" w:space="0" w:color="auto"/>
        <w:bottom w:val="none" w:sz="0" w:space="0" w:color="auto"/>
        <w:right w:val="none" w:sz="0" w:space="0" w:color="auto"/>
      </w:divBdr>
    </w:div>
    <w:div w:id="1395546271">
      <w:bodyDiv w:val="1"/>
      <w:marLeft w:val="0"/>
      <w:marRight w:val="0"/>
      <w:marTop w:val="0"/>
      <w:marBottom w:val="0"/>
      <w:divBdr>
        <w:top w:val="none" w:sz="0" w:space="0" w:color="auto"/>
        <w:left w:val="none" w:sz="0" w:space="0" w:color="auto"/>
        <w:bottom w:val="none" w:sz="0" w:space="0" w:color="auto"/>
        <w:right w:val="none" w:sz="0" w:space="0" w:color="auto"/>
      </w:divBdr>
    </w:div>
    <w:div w:id="21012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3608-B7CF-9E48-9AB6-75193FA7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 Health San Antonio</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Winckler, Christopher J</dc:creator>
  <cp:keywords/>
  <dc:description/>
  <cp:lastModifiedBy>Emily Epley</cp:lastModifiedBy>
  <cp:revision>66</cp:revision>
  <cp:lastPrinted>2025-11-23T01:54:00Z</cp:lastPrinted>
  <dcterms:created xsi:type="dcterms:W3CDTF">2025-11-15T19:40:00Z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9ce242-bd69-4ace-81be-21f3d34931dc_Enabled">
    <vt:lpwstr>true</vt:lpwstr>
  </property>
  <property fmtid="{D5CDD505-2E9C-101B-9397-08002B2CF9AE}" pid="3" name="MSIP_Label_829ce242-bd69-4ace-81be-21f3d34931dc_SetDate">
    <vt:lpwstr>2025-11-15T19:40:54Z</vt:lpwstr>
  </property>
  <property fmtid="{D5CDD505-2E9C-101B-9397-08002B2CF9AE}" pid="4" name="MSIP_Label_829ce242-bd69-4ace-81be-21f3d34931dc_Method">
    <vt:lpwstr>Standard</vt:lpwstr>
  </property>
  <property fmtid="{D5CDD505-2E9C-101B-9397-08002B2CF9AE}" pid="5" name="MSIP_Label_829ce242-bd69-4ace-81be-21f3d34931dc_Name">
    <vt:lpwstr>defa4170-0d19-0005-0004-bc88714345d2</vt:lpwstr>
  </property>
  <property fmtid="{D5CDD505-2E9C-101B-9397-08002B2CF9AE}" pid="6" name="MSIP_Label_829ce242-bd69-4ace-81be-21f3d34931dc_SiteId">
    <vt:lpwstr>110c9cc6-4d84-4558-81a1-76310935a2e7</vt:lpwstr>
  </property>
  <property fmtid="{D5CDD505-2E9C-101B-9397-08002B2CF9AE}" pid="7" name="MSIP_Label_829ce242-bd69-4ace-81be-21f3d34931dc_ActionId">
    <vt:lpwstr>5b39b1c6-800e-4403-b373-08b3b63cadf9</vt:lpwstr>
  </property>
  <property fmtid="{D5CDD505-2E9C-101B-9397-08002B2CF9AE}" pid="8" name="MSIP_Label_829ce242-bd69-4ace-81be-21f3d34931dc_ContentBits">
    <vt:lpwstr>0</vt:lpwstr>
  </property>
  <property fmtid="{D5CDD505-2E9C-101B-9397-08002B2CF9AE}" pid="9" name="MSIP_Label_829ce242-bd69-4ace-81be-21f3d34931dc_Tag">
    <vt:lpwstr>50, 3, 0, 1</vt:lpwstr>
  </property>
</Properties>
</file>